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20" w:rsidRPr="003A31BB" w:rsidRDefault="00AF6C90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 w:rsidRPr="003A31BB">
        <w:rPr>
          <w:rFonts w:ascii="Arial" w:hAnsi="Arial" w:cs="Arial"/>
          <w:b w:val="0"/>
          <w:sz w:val="22"/>
          <w:szCs w:val="22"/>
        </w:rPr>
        <w:tab/>
      </w:r>
      <w:r w:rsidRPr="003A31BB">
        <w:rPr>
          <w:rFonts w:ascii="Arial" w:hAnsi="Arial" w:cs="Arial"/>
          <w:b w:val="0"/>
          <w:sz w:val="22"/>
          <w:szCs w:val="22"/>
        </w:rPr>
        <w:tab/>
      </w:r>
    </w:p>
    <w:p w:rsidR="00EA18C5" w:rsidRPr="003A31BB" w:rsidRDefault="00EA18C5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>(ime i prezime / naziv tvrtke, obrta ili dr.)</w:t>
      </w:r>
    </w:p>
    <w:p w:rsidR="00171AA1" w:rsidRPr="003A31BB" w:rsidRDefault="00171AA1" w:rsidP="00F15420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3A31BB">
        <w:rPr>
          <w:rFonts w:ascii="Arial" w:hAnsi="Arial" w:cs="Arial"/>
          <w:b w:val="0"/>
          <w:bCs/>
          <w:sz w:val="22"/>
          <w:szCs w:val="22"/>
        </w:rPr>
        <w:tab/>
      </w:r>
      <w:r w:rsidRPr="003A31BB">
        <w:rPr>
          <w:rFonts w:ascii="Arial" w:hAnsi="Arial" w:cs="Arial"/>
          <w:b w:val="0"/>
          <w:bCs/>
          <w:sz w:val="22"/>
          <w:szCs w:val="22"/>
        </w:rPr>
        <w:tab/>
      </w:r>
    </w:p>
    <w:p w:rsidR="00F15420" w:rsidRPr="003A31BB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>(adresa: mjesto, ulica i kućni broj)</w:t>
      </w:r>
    </w:p>
    <w:p w:rsidR="00F15420" w:rsidRPr="003A31BB" w:rsidRDefault="00F15420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171AA1" w:rsidRPr="003A31BB" w:rsidRDefault="00171AA1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3A31BB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 xml:space="preserve"> (OIB)</w:t>
      </w:r>
    </w:p>
    <w:p w:rsidR="00F15420" w:rsidRPr="003A31BB" w:rsidRDefault="00F15420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171AA1" w:rsidRPr="003A31BB" w:rsidRDefault="00171AA1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3A31BB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>(kontakt)</w:t>
      </w:r>
    </w:p>
    <w:p w:rsidR="00F15420" w:rsidRPr="003A31BB" w:rsidRDefault="00F15420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171AA1" w:rsidRPr="003A31BB" w:rsidRDefault="00171AA1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3A31BB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 xml:space="preserve"> (</w:t>
      </w:r>
      <w:r w:rsidR="001738FC" w:rsidRPr="003A31BB">
        <w:rPr>
          <w:rFonts w:ascii="Arial" w:hAnsi="Arial" w:cs="Arial"/>
          <w:b w:val="0"/>
          <w:sz w:val="22"/>
          <w:szCs w:val="22"/>
        </w:rPr>
        <w:t xml:space="preserve">broj </w:t>
      </w:r>
      <w:r w:rsidRPr="003A31BB">
        <w:rPr>
          <w:rFonts w:ascii="Arial" w:hAnsi="Arial" w:cs="Arial"/>
          <w:b w:val="0"/>
          <w:sz w:val="22"/>
          <w:szCs w:val="22"/>
        </w:rPr>
        <w:t>osobne iskaznice</w:t>
      </w:r>
      <w:r w:rsidR="001738FC" w:rsidRPr="003A31BB">
        <w:rPr>
          <w:rFonts w:ascii="Arial" w:hAnsi="Arial" w:cs="Arial"/>
          <w:b w:val="0"/>
          <w:sz w:val="22"/>
          <w:szCs w:val="22"/>
        </w:rPr>
        <w:t>)</w:t>
      </w:r>
    </w:p>
    <w:p w:rsidR="00F15420" w:rsidRPr="003A31BB" w:rsidRDefault="00F15420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171AA1" w:rsidRPr="003A31BB" w:rsidRDefault="00171AA1" w:rsidP="00F15420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3A31BB" w:rsidRDefault="00F15420" w:rsidP="00F15420">
      <w:pPr>
        <w:ind w:right="5112"/>
        <w:jc w:val="center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 xml:space="preserve"> (mjesto i datum)</w:t>
      </w:r>
    </w:p>
    <w:p w:rsidR="00F15420" w:rsidRPr="003A31BB" w:rsidRDefault="00F15420" w:rsidP="00F15420">
      <w:pPr>
        <w:ind w:left="4860" w:right="72"/>
        <w:jc w:val="center"/>
        <w:rPr>
          <w:rFonts w:ascii="Arial" w:hAnsi="Arial" w:cs="Arial"/>
          <w:b w:val="0"/>
          <w:bCs/>
          <w:sz w:val="22"/>
          <w:szCs w:val="22"/>
        </w:rPr>
      </w:pPr>
    </w:p>
    <w:tbl>
      <w:tblPr>
        <w:tblStyle w:val="Reetkatablic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F15420" w:rsidRPr="003A31BB" w:rsidTr="0066219E">
        <w:trPr>
          <w:trHeight w:val="1709"/>
        </w:trPr>
        <w:tc>
          <w:tcPr>
            <w:tcW w:w="5521" w:type="dxa"/>
          </w:tcPr>
          <w:p w:rsidR="00EA18C5" w:rsidRPr="003A31BB" w:rsidRDefault="00EA18C5" w:rsidP="00EA18C5">
            <w:pPr>
              <w:ind w:right="7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A31BB">
              <w:rPr>
                <w:rFonts w:ascii="Arial" w:hAnsi="Arial" w:cs="Arial"/>
                <w:b w:val="0"/>
                <w:bCs/>
                <w:sz w:val="22"/>
                <w:szCs w:val="22"/>
              </w:rPr>
              <w:t>ISTARSKA ŽUPANIJA</w:t>
            </w:r>
          </w:p>
          <w:p w:rsidR="00F15420" w:rsidRPr="003A31BB" w:rsidRDefault="00EA18C5" w:rsidP="00EA18C5">
            <w:pPr>
              <w:ind w:right="7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A31BB">
              <w:rPr>
                <w:rFonts w:ascii="Arial" w:hAnsi="Arial" w:cs="Arial"/>
                <w:b w:val="0"/>
                <w:bCs/>
                <w:sz w:val="22"/>
                <w:szCs w:val="22"/>
              </w:rPr>
              <w:t>UPRAVNI ODJEL ZA OPĆU UPRAVU I IMOVINSKO-PRAVNE POSLOVE</w:t>
            </w:r>
          </w:p>
          <w:p w:rsidR="00EA18C5" w:rsidRPr="003A31BB" w:rsidRDefault="0066219E" w:rsidP="00EA18C5">
            <w:pPr>
              <w:ind w:right="7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A31BB">
              <w:rPr>
                <w:rFonts w:ascii="Arial" w:hAnsi="Arial" w:cs="Arial"/>
                <w:b w:val="0"/>
                <w:bCs/>
                <w:sz w:val="22"/>
                <w:szCs w:val="22"/>
              </w:rPr>
              <w:t>Odsjek za upravljanje nekretninama u vlasništvu Republike Hrvatske</w:t>
            </w:r>
          </w:p>
          <w:p w:rsidR="0066219E" w:rsidRPr="003A31BB" w:rsidRDefault="0066219E" w:rsidP="00EA18C5">
            <w:pPr>
              <w:ind w:right="7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A31BB">
              <w:rPr>
                <w:rFonts w:ascii="Arial" w:hAnsi="Arial" w:cs="Arial"/>
                <w:b w:val="0"/>
                <w:bCs/>
                <w:sz w:val="22"/>
                <w:szCs w:val="22"/>
              </w:rPr>
              <w:t>52000 PULA-POLA, Split</w:t>
            </w:r>
            <w:r w:rsidR="00437D2D" w:rsidRPr="003A31BB">
              <w:rPr>
                <w:rFonts w:ascii="Arial" w:hAnsi="Arial" w:cs="Arial"/>
                <w:b w:val="0"/>
                <w:bCs/>
                <w:sz w:val="22"/>
                <w:szCs w:val="22"/>
              </w:rPr>
              <w:t>ska 14 -</w:t>
            </w:r>
            <w:r w:rsidRPr="003A31BB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Via Spalato 14</w:t>
            </w:r>
          </w:p>
        </w:tc>
      </w:tr>
    </w:tbl>
    <w:p w:rsidR="00F15420" w:rsidRPr="003A31BB" w:rsidRDefault="00F15420" w:rsidP="00F15420">
      <w:pPr>
        <w:ind w:left="4860" w:right="7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3A31BB" w:rsidRDefault="00F15420" w:rsidP="00F15420">
      <w:pPr>
        <w:ind w:left="4860" w:right="7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3A31BB" w:rsidRDefault="00F15420" w:rsidP="00EA18C5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sz w:val="22"/>
          <w:szCs w:val="22"/>
        </w:rPr>
        <w:tab/>
      </w:r>
      <w:bookmarkStart w:id="1" w:name="OLE_LINK2"/>
      <w:bookmarkStart w:id="2" w:name="OLE_LINK1"/>
    </w:p>
    <w:bookmarkEnd w:id="1"/>
    <w:bookmarkEnd w:id="2"/>
    <w:p w:rsidR="00F15420" w:rsidRPr="003A31BB" w:rsidRDefault="00F15420" w:rsidP="00F15420">
      <w:pPr>
        <w:ind w:left="4860" w:right="72"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>PREDMET</w:t>
      </w:r>
      <w:r w:rsidRPr="003A31BB">
        <w:rPr>
          <w:rFonts w:ascii="Arial" w:hAnsi="Arial" w:cs="Arial"/>
          <w:sz w:val="22"/>
          <w:szCs w:val="22"/>
        </w:rPr>
        <w:t>:</w:t>
      </w:r>
      <w:r w:rsidRPr="003A31BB">
        <w:rPr>
          <w:rFonts w:ascii="Arial" w:hAnsi="Arial" w:cs="Arial"/>
          <w:b w:val="0"/>
          <w:sz w:val="22"/>
          <w:szCs w:val="22"/>
        </w:rPr>
        <w:t xml:space="preserve"> Obavijest investitora gradnje građevine o višku iskopa</w:t>
      </w:r>
      <w:r w:rsidR="005856E4" w:rsidRPr="003A31BB">
        <w:rPr>
          <w:rFonts w:ascii="Arial" w:hAnsi="Arial" w:cs="Arial"/>
          <w:b w:val="0"/>
          <w:sz w:val="22"/>
          <w:szCs w:val="22"/>
        </w:rPr>
        <w:t xml:space="preserve"> koji sadrži mineralnu sirovinu</w:t>
      </w:r>
    </w:p>
    <w:p w:rsidR="00F15420" w:rsidRPr="003A31BB" w:rsidRDefault="00F15420" w:rsidP="00F15420">
      <w:pPr>
        <w:tabs>
          <w:tab w:val="center" w:pos="5580"/>
        </w:tabs>
        <w:ind w:right="72"/>
        <w:jc w:val="center"/>
        <w:rPr>
          <w:rFonts w:ascii="Arial" w:hAnsi="Arial" w:cs="Arial"/>
          <w:bCs/>
          <w:sz w:val="22"/>
          <w:szCs w:val="22"/>
        </w:rPr>
      </w:pPr>
    </w:p>
    <w:p w:rsidR="00F15420" w:rsidRPr="003A31BB" w:rsidRDefault="00F15420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 xml:space="preserve">Oznake nekretnina u obuhvatu gradilišta (prema izvatku iz zemljišne knjige): </w:t>
      </w:r>
    </w:p>
    <w:p w:rsidR="00F15420" w:rsidRPr="003A31BB" w:rsidRDefault="00F15420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  <w:sectPr w:rsidR="00F15420" w:rsidRPr="003A31BB" w:rsidSect="001B5A07">
          <w:headerReference w:type="default" r:id="rId7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3A31BB" w:rsidRPr="003A31BB" w:rsidTr="00E445E6">
        <w:trPr>
          <w:trHeight w:val="256"/>
        </w:trPr>
        <w:tc>
          <w:tcPr>
            <w:tcW w:w="900" w:type="dxa"/>
            <w:gridSpan w:val="2"/>
            <w:shd w:val="clear" w:color="auto" w:fill="auto"/>
            <w:vAlign w:val="bottom"/>
          </w:tcPr>
          <w:p w:rsidR="00F15420" w:rsidRPr="003A31BB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A31BB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420" w:rsidRPr="003A31BB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31BB" w:rsidRPr="003A31BB" w:rsidTr="00E445E6">
        <w:trPr>
          <w:trHeight w:val="254"/>
        </w:trPr>
        <w:tc>
          <w:tcPr>
            <w:tcW w:w="720" w:type="dxa"/>
            <w:shd w:val="clear" w:color="auto" w:fill="auto"/>
            <w:vAlign w:val="bottom"/>
          </w:tcPr>
          <w:p w:rsidR="00F15420" w:rsidRPr="003A31BB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A31BB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15420" w:rsidRPr="003A31BB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15420" w:rsidRPr="003A31BB" w:rsidTr="00E445E6">
        <w:trPr>
          <w:trHeight w:val="254"/>
        </w:trPr>
        <w:tc>
          <w:tcPr>
            <w:tcW w:w="1011" w:type="dxa"/>
            <w:gridSpan w:val="3"/>
            <w:shd w:val="clear" w:color="auto" w:fill="auto"/>
            <w:vAlign w:val="bottom"/>
          </w:tcPr>
          <w:p w:rsidR="00F15420" w:rsidRPr="003A31BB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A31BB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420" w:rsidRPr="003A31BB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15420" w:rsidRPr="003A31BB" w:rsidRDefault="00F15420" w:rsidP="00E445E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A31BB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</w:p>
        </w:tc>
      </w:tr>
    </w:tbl>
    <w:p w:rsidR="00F15420" w:rsidRPr="003A31BB" w:rsidRDefault="00F15420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5856E4" w:rsidP="00F154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>Obrazloženje</w:t>
      </w:r>
      <w:r w:rsidR="00F15420" w:rsidRPr="003A31BB">
        <w:rPr>
          <w:rFonts w:ascii="Arial" w:hAnsi="Arial" w:cs="Arial"/>
          <w:b w:val="0"/>
          <w:sz w:val="22"/>
          <w:szCs w:val="22"/>
        </w:rPr>
        <w:t>:</w:t>
      </w:r>
    </w:p>
    <w:p w:rsidR="00F15420" w:rsidRPr="003A31BB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ind w:right="5112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ind w:right="5112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pBdr>
          <w:bottom w:val="single" w:sz="4" w:space="1" w:color="auto"/>
        </w:pBdr>
        <w:ind w:left="5222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ind w:left="5222"/>
        <w:jc w:val="center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>(potpis)</w:t>
      </w:r>
    </w:p>
    <w:p w:rsidR="00F15420" w:rsidRPr="003A31BB" w:rsidRDefault="00F15420" w:rsidP="00F15420">
      <w:pPr>
        <w:ind w:right="-648"/>
        <w:rPr>
          <w:rFonts w:ascii="Arial" w:hAnsi="Arial" w:cs="Arial"/>
          <w:sz w:val="22"/>
          <w:szCs w:val="22"/>
        </w:rPr>
      </w:pPr>
    </w:p>
    <w:p w:rsidR="00F15420" w:rsidRPr="003A31BB" w:rsidRDefault="00F15420" w:rsidP="00F15420">
      <w:pPr>
        <w:ind w:right="-648"/>
        <w:rPr>
          <w:rFonts w:ascii="Arial" w:hAnsi="Arial" w:cs="Arial"/>
          <w:sz w:val="22"/>
          <w:szCs w:val="22"/>
        </w:rPr>
      </w:pPr>
    </w:p>
    <w:p w:rsidR="00F15420" w:rsidRPr="003A31BB" w:rsidRDefault="00F15420" w:rsidP="00F15420">
      <w:pPr>
        <w:ind w:right="-648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ind w:right="-648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ind w:right="-648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ind w:right="-648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F15420" w:rsidP="00F15420">
      <w:pPr>
        <w:ind w:right="-648"/>
        <w:rPr>
          <w:rFonts w:ascii="Arial" w:hAnsi="Arial" w:cs="Arial"/>
          <w:sz w:val="22"/>
          <w:szCs w:val="22"/>
        </w:rPr>
      </w:pPr>
      <w:r w:rsidRPr="003A31BB">
        <w:rPr>
          <w:rFonts w:ascii="Arial" w:hAnsi="Arial" w:cs="Arial"/>
          <w:sz w:val="22"/>
          <w:szCs w:val="22"/>
        </w:rPr>
        <w:t>PRILOZI:</w:t>
      </w:r>
    </w:p>
    <w:p w:rsidR="00F15420" w:rsidRPr="003A31BB" w:rsidRDefault="00F15420" w:rsidP="00F15420">
      <w:pPr>
        <w:ind w:right="-648"/>
        <w:rPr>
          <w:rFonts w:ascii="Arial" w:hAnsi="Arial" w:cs="Arial"/>
          <w:sz w:val="22"/>
          <w:szCs w:val="22"/>
        </w:rPr>
      </w:pPr>
    </w:p>
    <w:p w:rsidR="00F15420" w:rsidRPr="003A31BB" w:rsidRDefault="00F15420" w:rsidP="00F15420">
      <w:pPr>
        <w:numPr>
          <w:ilvl w:val="0"/>
          <w:numId w:val="11"/>
        </w:numPr>
        <w:tabs>
          <w:tab w:val="clear" w:pos="720"/>
          <w:tab w:val="num" w:pos="540"/>
        </w:tabs>
        <w:ind w:left="540" w:right="-648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>Navesti svu potrebnu dokumentaciju</w:t>
      </w:r>
    </w:p>
    <w:p w:rsidR="00F15420" w:rsidRPr="003A31BB" w:rsidRDefault="00F15420" w:rsidP="00F15420">
      <w:pPr>
        <w:ind w:right="-648"/>
        <w:rPr>
          <w:rFonts w:ascii="Arial" w:hAnsi="Arial" w:cs="Arial"/>
          <w:sz w:val="22"/>
          <w:szCs w:val="22"/>
        </w:rPr>
      </w:pPr>
    </w:p>
    <w:p w:rsidR="0025479D" w:rsidRPr="003A31BB" w:rsidRDefault="0025479D" w:rsidP="00F15420">
      <w:pPr>
        <w:ind w:right="-648"/>
        <w:rPr>
          <w:rFonts w:ascii="Arial" w:hAnsi="Arial" w:cs="Arial"/>
          <w:sz w:val="22"/>
          <w:szCs w:val="22"/>
        </w:rPr>
      </w:pPr>
    </w:p>
    <w:p w:rsidR="00F15420" w:rsidRPr="003A31BB" w:rsidRDefault="00F15420" w:rsidP="00F15420">
      <w:pPr>
        <w:ind w:right="-648"/>
        <w:rPr>
          <w:rFonts w:ascii="Arial" w:hAnsi="Arial" w:cs="Arial"/>
          <w:sz w:val="22"/>
          <w:szCs w:val="22"/>
        </w:rPr>
      </w:pPr>
      <w:r w:rsidRPr="003A31BB">
        <w:rPr>
          <w:rFonts w:ascii="Arial" w:hAnsi="Arial" w:cs="Arial"/>
          <w:sz w:val="22"/>
          <w:szCs w:val="22"/>
        </w:rPr>
        <w:t>DOKUMENTACIJA KOJA SE PRILAŽE UZ OBAVIJEST</w:t>
      </w:r>
    </w:p>
    <w:p w:rsidR="00F15420" w:rsidRPr="003A31BB" w:rsidRDefault="00F15420" w:rsidP="00F15420">
      <w:pPr>
        <w:ind w:right="-648"/>
        <w:rPr>
          <w:rFonts w:ascii="Arial" w:hAnsi="Arial" w:cs="Arial"/>
          <w:b w:val="0"/>
          <w:sz w:val="22"/>
          <w:szCs w:val="22"/>
        </w:rPr>
      </w:pPr>
    </w:p>
    <w:p w:rsidR="00F15420" w:rsidRPr="003A31BB" w:rsidRDefault="00065BC2" w:rsidP="00F15420">
      <w:pPr>
        <w:pStyle w:val="Odlomakpopisa"/>
        <w:numPr>
          <w:ilvl w:val="0"/>
          <w:numId w:val="12"/>
        </w:numPr>
        <w:ind w:right="-648"/>
        <w:jc w:val="both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>Preslik</w:t>
      </w:r>
      <w:r w:rsidR="009509FE" w:rsidRPr="003A31BB">
        <w:rPr>
          <w:rFonts w:ascii="Arial" w:hAnsi="Arial" w:cs="Arial"/>
          <w:b w:val="0"/>
          <w:sz w:val="22"/>
          <w:szCs w:val="22"/>
        </w:rPr>
        <w:t>a</w:t>
      </w:r>
      <w:r w:rsidR="00F15420" w:rsidRPr="003A31BB">
        <w:rPr>
          <w:rFonts w:ascii="Arial" w:hAnsi="Arial" w:cs="Arial"/>
          <w:b w:val="0"/>
          <w:sz w:val="22"/>
          <w:szCs w:val="22"/>
        </w:rPr>
        <w:t xml:space="preserve"> akta na temelju kojega se gradi građevina;</w:t>
      </w:r>
    </w:p>
    <w:p w:rsidR="00F15420" w:rsidRPr="003A31BB" w:rsidRDefault="00F15420" w:rsidP="00F15420">
      <w:pPr>
        <w:pStyle w:val="Odlomakpopisa"/>
        <w:numPr>
          <w:ilvl w:val="0"/>
          <w:numId w:val="12"/>
        </w:numPr>
        <w:ind w:right="-648"/>
        <w:jc w:val="both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 xml:space="preserve">Dokaz o količini i kakvoći mineralne sirovine </w:t>
      </w:r>
      <w:r w:rsidR="006D7E5D" w:rsidRPr="003A31BB">
        <w:rPr>
          <w:rFonts w:ascii="Arial" w:hAnsi="Arial" w:cs="Arial"/>
          <w:b w:val="0"/>
          <w:sz w:val="22"/>
          <w:szCs w:val="22"/>
        </w:rPr>
        <w:t xml:space="preserve">u skladu s hrvatskim normama i standardima, odnosno </w:t>
      </w:r>
      <w:r w:rsidRPr="003A31BB">
        <w:rPr>
          <w:rFonts w:ascii="Arial" w:hAnsi="Arial" w:cs="Arial"/>
          <w:b w:val="0"/>
          <w:sz w:val="22"/>
          <w:szCs w:val="22"/>
        </w:rPr>
        <w:t>sukladno odredbi članka 144</w:t>
      </w:r>
      <w:r w:rsidR="00BF1142" w:rsidRPr="003A31BB">
        <w:rPr>
          <w:rFonts w:ascii="Arial" w:hAnsi="Arial" w:cs="Arial"/>
          <w:b w:val="0"/>
          <w:sz w:val="22"/>
          <w:szCs w:val="22"/>
        </w:rPr>
        <w:t>. Zakona o rudarstvu („Narodne novine“ br.</w:t>
      </w:r>
      <w:r w:rsidRPr="003A31BB">
        <w:rPr>
          <w:rFonts w:ascii="Arial" w:hAnsi="Arial" w:cs="Arial"/>
          <w:b w:val="0"/>
          <w:sz w:val="22"/>
          <w:szCs w:val="22"/>
        </w:rPr>
        <w:t xml:space="preserve">  56/2013, 14/2014, 52/2018, 115/2018, 98/2019, 83/2023);</w:t>
      </w:r>
    </w:p>
    <w:p w:rsidR="00F15420" w:rsidRPr="003A31BB" w:rsidRDefault="00F15420" w:rsidP="00F15420">
      <w:pPr>
        <w:pStyle w:val="Odlomakpopisa"/>
        <w:numPr>
          <w:ilvl w:val="0"/>
          <w:numId w:val="12"/>
        </w:numPr>
        <w:ind w:right="-648"/>
        <w:jc w:val="both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>Ponuda za otkup i cijenu, ako je investitor zainteresiran za otkup viška iskopa</w:t>
      </w:r>
      <w:r w:rsidR="00980ABD" w:rsidRPr="003A31BB">
        <w:rPr>
          <w:rFonts w:ascii="Arial" w:hAnsi="Arial" w:cs="Arial"/>
          <w:b w:val="0"/>
          <w:sz w:val="22"/>
          <w:szCs w:val="22"/>
        </w:rPr>
        <w:t xml:space="preserve"> koji sadrži mineralnu  sirovinu</w:t>
      </w:r>
      <w:r w:rsidRPr="003A31BB">
        <w:rPr>
          <w:rFonts w:ascii="Arial" w:hAnsi="Arial" w:cs="Arial"/>
          <w:b w:val="0"/>
          <w:sz w:val="22"/>
          <w:szCs w:val="22"/>
        </w:rPr>
        <w:t>;</w:t>
      </w:r>
    </w:p>
    <w:p w:rsidR="001738FC" w:rsidRPr="003A31BB" w:rsidRDefault="001738FC" w:rsidP="00F15420">
      <w:pPr>
        <w:pStyle w:val="Odlomakpopisa"/>
        <w:numPr>
          <w:ilvl w:val="0"/>
          <w:numId w:val="12"/>
        </w:numPr>
        <w:ind w:right="-648"/>
        <w:jc w:val="both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>Preslik osobne iskaznice, izvod iz sudskog registra i obrtnog registra</w:t>
      </w:r>
    </w:p>
    <w:p w:rsidR="00F15420" w:rsidRPr="003A31BB" w:rsidRDefault="00F15420" w:rsidP="00F15420">
      <w:pPr>
        <w:pStyle w:val="Odlomakpopisa"/>
        <w:numPr>
          <w:ilvl w:val="0"/>
          <w:numId w:val="12"/>
        </w:numPr>
        <w:ind w:right="-648"/>
        <w:jc w:val="both"/>
        <w:rPr>
          <w:rFonts w:ascii="Arial" w:hAnsi="Arial" w:cs="Arial"/>
          <w:b w:val="0"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</w:rPr>
        <w:t xml:space="preserve">Druga relevantna dokumentacija. </w:t>
      </w:r>
    </w:p>
    <w:p w:rsidR="00F15420" w:rsidRPr="003A31BB" w:rsidRDefault="00F15420" w:rsidP="00F15420">
      <w:pPr>
        <w:ind w:right="-648"/>
        <w:jc w:val="both"/>
        <w:rPr>
          <w:rFonts w:ascii="Arial" w:hAnsi="Arial" w:cs="Arial"/>
          <w:b w:val="0"/>
          <w:sz w:val="22"/>
          <w:szCs w:val="22"/>
        </w:rPr>
      </w:pPr>
    </w:p>
    <w:p w:rsidR="005856E4" w:rsidRPr="003A31BB" w:rsidRDefault="00F15420" w:rsidP="00F15420">
      <w:pPr>
        <w:ind w:right="-648"/>
        <w:jc w:val="both"/>
        <w:rPr>
          <w:rFonts w:ascii="Arial" w:hAnsi="Arial" w:cs="Arial"/>
          <w:b w:val="0"/>
          <w:bCs/>
          <w:sz w:val="22"/>
          <w:szCs w:val="22"/>
        </w:rPr>
      </w:pPr>
      <w:r w:rsidRPr="003A31BB">
        <w:rPr>
          <w:rFonts w:ascii="Arial" w:hAnsi="Arial" w:cs="Arial"/>
          <w:b w:val="0"/>
          <w:bCs/>
          <w:sz w:val="22"/>
          <w:szCs w:val="22"/>
        </w:rPr>
        <w:t xml:space="preserve">Postupanje nadležnog tijela s viškom iskopa kod izvođenja građevinskih radova regulirano je </w:t>
      </w:r>
      <w:r w:rsidRPr="003A31BB">
        <w:rPr>
          <w:rFonts w:ascii="Arial" w:hAnsi="Arial" w:cs="Arial"/>
          <w:b w:val="0"/>
          <w:bCs/>
          <w:iCs/>
          <w:sz w:val="22"/>
          <w:szCs w:val="22"/>
        </w:rPr>
        <w:t>Zakonom o upravljanju nekretninama i pokretninama u v</w:t>
      </w:r>
      <w:r w:rsidR="00BF1142" w:rsidRPr="003A31BB">
        <w:rPr>
          <w:rFonts w:ascii="Arial" w:hAnsi="Arial" w:cs="Arial"/>
          <w:b w:val="0"/>
          <w:bCs/>
          <w:iCs/>
          <w:sz w:val="22"/>
          <w:szCs w:val="22"/>
        </w:rPr>
        <w:t>lasništvu Republike Hrvatske („Narodne novine“</w:t>
      </w:r>
      <w:r w:rsidRPr="003A31BB">
        <w:rPr>
          <w:rFonts w:ascii="Arial" w:hAnsi="Arial" w:cs="Arial"/>
          <w:b w:val="0"/>
          <w:bCs/>
          <w:iCs/>
          <w:sz w:val="22"/>
          <w:szCs w:val="22"/>
        </w:rPr>
        <w:t xml:space="preserve"> br. 155/23)</w:t>
      </w:r>
      <w:r w:rsidRPr="003A31BB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980ABD" w:rsidRPr="003A31BB">
        <w:rPr>
          <w:rFonts w:ascii="Arial" w:hAnsi="Arial" w:cs="Arial"/>
          <w:b w:val="0"/>
          <w:bCs/>
          <w:sz w:val="22"/>
          <w:szCs w:val="22"/>
        </w:rPr>
        <w:t xml:space="preserve">Zakonom o rudarstvu </w:t>
      </w:r>
      <w:r w:rsidR="00980ABD" w:rsidRPr="003A31BB">
        <w:rPr>
          <w:rFonts w:ascii="Arial" w:hAnsi="Arial" w:cs="Arial"/>
          <w:b w:val="0"/>
          <w:sz w:val="22"/>
          <w:szCs w:val="22"/>
        </w:rPr>
        <w:t xml:space="preserve">(„Narodne novine“ br.  56/2013, 14/2014, 52/2018, 115/2018, 98/2019, 83/2023) </w:t>
      </w:r>
      <w:r w:rsidRPr="003A31BB">
        <w:rPr>
          <w:rFonts w:ascii="Arial" w:hAnsi="Arial" w:cs="Arial"/>
          <w:b w:val="0"/>
          <w:bCs/>
          <w:sz w:val="22"/>
          <w:szCs w:val="22"/>
        </w:rPr>
        <w:t>i Pravilnikom o postupanju s viškom iskopa koji predstavlja mineralnu sirovinu kod i</w:t>
      </w:r>
      <w:r w:rsidR="00BF1142" w:rsidRPr="003A31BB">
        <w:rPr>
          <w:rFonts w:ascii="Arial" w:hAnsi="Arial" w:cs="Arial"/>
          <w:b w:val="0"/>
          <w:bCs/>
          <w:sz w:val="22"/>
          <w:szCs w:val="22"/>
        </w:rPr>
        <w:t>zvođenja građevinskih radova („Narodne novine“ br.</w:t>
      </w:r>
      <w:r w:rsidRPr="003A31BB">
        <w:rPr>
          <w:rFonts w:ascii="Arial" w:hAnsi="Arial" w:cs="Arial"/>
          <w:b w:val="0"/>
          <w:bCs/>
          <w:sz w:val="22"/>
          <w:szCs w:val="22"/>
        </w:rPr>
        <w:t xml:space="preserve"> 84/2024).</w:t>
      </w:r>
    </w:p>
    <w:p w:rsidR="00F15420" w:rsidRPr="003A31BB" w:rsidRDefault="00F15420" w:rsidP="00F15420">
      <w:pPr>
        <w:ind w:right="-648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F15420" w:rsidRPr="003A31BB" w:rsidRDefault="00F15420" w:rsidP="00F15420">
      <w:pPr>
        <w:ind w:right="-648"/>
        <w:jc w:val="both"/>
        <w:rPr>
          <w:rFonts w:ascii="Arial" w:hAnsi="Arial" w:cs="Arial"/>
          <w:b w:val="0"/>
          <w:sz w:val="22"/>
          <w:szCs w:val="22"/>
          <w:shd w:val="clear" w:color="auto" w:fill="FFFFFF"/>
        </w:rPr>
      </w:pPr>
      <w:r w:rsidRPr="003A31BB">
        <w:rPr>
          <w:rFonts w:ascii="Arial" w:hAnsi="Arial" w:cs="Arial"/>
          <w:b w:val="0"/>
          <w:bCs/>
          <w:sz w:val="22"/>
          <w:szCs w:val="22"/>
        </w:rPr>
        <w:t>Investitori građevina za koje je propisima o gradnji određena obvezna kontrola glavnog projekta građenja glede mehaničke otpornosti i stabilnosti konstrukcija i temeljnog tla dužni su u roku od 30 dana prije početka radova obavijestiti nadležno tijelo, inspekciju, jedinicu lokalne samouprave i jedinicu područne (regionalne) samouprave o višku iskopa koji sadrži mineralnu sirovinu koj</w:t>
      </w:r>
      <w:r w:rsidR="00B4035F" w:rsidRPr="003A31BB">
        <w:rPr>
          <w:rFonts w:ascii="Arial" w:hAnsi="Arial" w:cs="Arial"/>
          <w:b w:val="0"/>
          <w:bCs/>
          <w:sz w:val="22"/>
          <w:szCs w:val="22"/>
        </w:rPr>
        <w:t xml:space="preserve">i će preostati prilikom gradnje, </w:t>
      </w:r>
      <w:r w:rsidR="00B4035F" w:rsidRPr="003A31BB">
        <w:rPr>
          <w:rFonts w:ascii="Arial" w:hAnsi="Arial" w:cs="Arial"/>
          <w:b w:val="0"/>
          <w:sz w:val="22"/>
          <w:szCs w:val="22"/>
          <w:shd w:val="clear" w:color="auto" w:fill="FFFFFF"/>
        </w:rPr>
        <w:t>a sukladno glavnom projektu građenja i troškovniku.</w:t>
      </w:r>
    </w:p>
    <w:p w:rsidR="006D7E5D" w:rsidRPr="003A31BB" w:rsidRDefault="006D7E5D" w:rsidP="00F15420">
      <w:pPr>
        <w:ind w:right="-648"/>
        <w:jc w:val="both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:rsidR="006D7E5D" w:rsidRPr="003A31BB" w:rsidRDefault="006D7E5D" w:rsidP="00F15420">
      <w:pPr>
        <w:ind w:right="-648"/>
        <w:jc w:val="both"/>
        <w:rPr>
          <w:rFonts w:ascii="Arial" w:hAnsi="Arial" w:cs="Arial"/>
          <w:b w:val="0"/>
          <w:sz w:val="22"/>
          <w:szCs w:val="22"/>
          <w:shd w:val="clear" w:color="auto" w:fill="FFFFFF"/>
        </w:rPr>
      </w:pPr>
      <w:r w:rsidRPr="003A31BB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Višak iskopa koji sadrži mineralnu sirovinu mora biti iskazan u glavnom projektu građenja. </w:t>
      </w:r>
    </w:p>
    <w:p w:rsidR="00B4035F" w:rsidRPr="003A31BB" w:rsidRDefault="00B4035F" w:rsidP="00F15420">
      <w:pPr>
        <w:ind w:right="-648"/>
        <w:jc w:val="both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:rsidR="00B4035F" w:rsidRPr="003A31BB" w:rsidRDefault="00B4035F" w:rsidP="00F15420">
      <w:pPr>
        <w:ind w:right="-648"/>
        <w:jc w:val="both"/>
        <w:rPr>
          <w:rFonts w:ascii="Arial" w:hAnsi="Arial" w:cs="Arial"/>
          <w:b w:val="0"/>
          <w:bCs/>
          <w:sz w:val="22"/>
          <w:szCs w:val="22"/>
        </w:rPr>
      </w:pPr>
      <w:r w:rsidRPr="003A31BB">
        <w:rPr>
          <w:rFonts w:ascii="Arial" w:hAnsi="Arial" w:cs="Arial"/>
          <w:b w:val="0"/>
          <w:sz w:val="22"/>
          <w:szCs w:val="22"/>
          <w:shd w:val="clear" w:color="auto" w:fill="FFFFFF"/>
        </w:rPr>
        <w:t>Investitor građevine za koju propisima o gradnji nije određena obveza kontrole glavnog projekta dužni su u roku od 5 dana po izvršenom iskopu obavijestiti nadležno tijelo, inspekciju, jedinicu lokalne samouprave i jedinicu područne (regionalne) samouprave o nastalom višku iskopa koji sadrži mineralnu sirovinu.</w:t>
      </w:r>
    </w:p>
    <w:p w:rsidR="004B0391" w:rsidRPr="003A31BB" w:rsidRDefault="004B0391">
      <w:pPr>
        <w:jc w:val="both"/>
        <w:rPr>
          <w:rFonts w:ascii="Arial" w:hAnsi="Arial" w:cs="Arial"/>
          <w:sz w:val="22"/>
          <w:szCs w:val="22"/>
        </w:rPr>
      </w:pPr>
    </w:p>
    <w:sectPr w:rsidR="004B0391" w:rsidRPr="003A31BB" w:rsidSect="00100038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20" w:rsidRDefault="00F15420">
      <w:r>
        <w:separator/>
      </w:r>
    </w:p>
  </w:endnote>
  <w:endnote w:type="continuationSeparator" w:id="0">
    <w:p w:rsidR="00F15420" w:rsidRDefault="00F1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20" w:rsidRDefault="00F15420">
      <w:r>
        <w:separator/>
      </w:r>
    </w:p>
  </w:footnote>
  <w:footnote w:type="continuationSeparator" w:id="0">
    <w:p w:rsidR="00F15420" w:rsidRDefault="00F1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20" w:rsidRDefault="00F15420" w:rsidP="00DD2EFD">
    <w:pPr>
      <w:pStyle w:val="Zaglavlje"/>
      <w:rPr>
        <w:rFonts w:ascii="Arial" w:hAnsi="Arial" w:cs="Arial"/>
        <w:b w:val="0"/>
        <w:color w:val="808080" w:themeColor="background1" w:themeShade="80"/>
        <w:sz w:val="18"/>
      </w:rPr>
    </w:pPr>
  </w:p>
  <w:p w:rsidR="00F15420" w:rsidRPr="00DD2EFD" w:rsidRDefault="00F15420" w:rsidP="00DD2E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46363A47"/>
    <w:multiLevelType w:val="hybridMultilevel"/>
    <w:tmpl w:val="F6DA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719F3F8D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20"/>
    <w:rsid w:val="00065BC2"/>
    <w:rsid w:val="00171AA1"/>
    <w:rsid w:val="001738FC"/>
    <w:rsid w:val="0025479D"/>
    <w:rsid w:val="003A31BB"/>
    <w:rsid w:val="00437D2D"/>
    <w:rsid w:val="00475E5F"/>
    <w:rsid w:val="004B0391"/>
    <w:rsid w:val="00576D45"/>
    <w:rsid w:val="005856E4"/>
    <w:rsid w:val="0066219E"/>
    <w:rsid w:val="006D78DE"/>
    <w:rsid w:val="006D7E5D"/>
    <w:rsid w:val="00841460"/>
    <w:rsid w:val="00903E26"/>
    <w:rsid w:val="00904A71"/>
    <w:rsid w:val="009161AD"/>
    <w:rsid w:val="009509FE"/>
    <w:rsid w:val="00980ABD"/>
    <w:rsid w:val="009C3BE7"/>
    <w:rsid w:val="00AF6C90"/>
    <w:rsid w:val="00B4035F"/>
    <w:rsid w:val="00BF1142"/>
    <w:rsid w:val="00CC4F74"/>
    <w:rsid w:val="00EA18C5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E84A9-B0D2-491C-AD4C-0B59FA26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420"/>
    <w:rPr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link w:val="Zaglavlje"/>
    <w:rsid w:val="00F15420"/>
    <w:rPr>
      <w:sz w:val="24"/>
    </w:rPr>
  </w:style>
  <w:style w:type="paragraph" w:styleId="Odlomakpopisa">
    <w:name w:val="List Paragraph"/>
    <w:basedOn w:val="Normal"/>
    <w:uiPriority w:val="34"/>
    <w:qFormat/>
    <w:rsid w:val="00F15420"/>
    <w:pPr>
      <w:ind w:left="720"/>
      <w:contextualSpacing/>
    </w:pPr>
  </w:style>
  <w:style w:type="table" w:styleId="Reetkatablice">
    <w:name w:val="Table Grid"/>
    <w:basedOn w:val="Obinatablica"/>
    <w:uiPriority w:val="39"/>
    <w:rsid w:val="00F15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Rovena Runko Brenčić</dc:creator>
  <cp:keywords/>
  <dc:description/>
  <cp:lastModifiedBy>Dino Černeka</cp:lastModifiedBy>
  <cp:revision>2</cp:revision>
  <dcterms:created xsi:type="dcterms:W3CDTF">2025-09-29T10:40:00Z</dcterms:created>
  <dcterms:modified xsi:type="dcterms:W3CDTF">2025-09-29T10:40:00Z</dcterms:modified>
</cp:coreProperties>
</file>