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465"/>
        <w:gridCol w:w="42"/>
        <w:gridCol w:w="9306"/>
        <w:gridCol w:w="111"/>
        <w:gridCol w:w="135"/>
        <w:gridCol w:w="20"/>
        <w:gridCol w:w="89"/>
        <w:gridCol w:w="20"/>
        <w:gridCol w:w="6"/>
        <w:gridCol w:w="14"/>
        <w:gridCol w:w="78"/>
        <w:gridCol w:w="22"/>
      </w:tblGrid>
      <w:tr w:rsidR="008E38FF" w14:paraId="3C61B2CC" w14:textId="77777777" w:rsidTr="006F0FB8">
        <w:trPr>
          <w:gridAfter w:val="3"/>
          <w:wAfter w:w="114" w:type="dxa"/>
          <w:trHeight w:val="290"/>
        </w:trPr>
        <w:tc>
          <w:tcPr>
            <w:tcW w:w="20" w:type="dxa"/>
          </w:tcPr>
          <w:p w14:paraId="1EDFE4A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  <w:bookmarkStart w:id="0" w:name="_Hlk149207541"/>
            <w:bookmarkStart w:id="1" w:name="_Hlk149202024"/>
          </w:p>
        </w:tc>
        <w:tc>
          <w:tcPr>
            <w:tcW w:w="5465" w:type="dxa"/>
          </w:tcPr>
          <w:p w14:paraId="0E52F48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348" w:type="dxa"/>
            <w:gridSpan w:val="2"/>
          </w:tcPr>
          <w:p w14:paraId="1F7C3C3C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46" w:type="dxa"/>
            <w:gridSpan w:val="2"/>
          </w:tcPr>
          <w:p w14:paraId="7C1F8510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6040AAA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15" w:type="dxa"/>
            <w:gridSpan w:val="3"/>
          </w:tcPr>
          <w:p w14:paraId="2BDF9B9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72C878BA" w14:textId="77777777" w:rsidTr="006F0FB8">
        <w:trPr>
          <w:gridAfter w:val="3"/>
          <w:wAfter w:w="114" w:type="dxa"/>
          <w:trHeight w:val="340"/>
        </w:trPr>
        <w:tc>
          <w:tcPr>
            <w:tcW w:w="20" w:type="dxa"/>
          </w:tcPr>
          <w:p w14:paraId="0B151102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519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8E38FF" w14:paraId="4BBCE2E2" w14:textId="77777777" w:rsidTr="006F0FB8">
              <w:trPr>
                <w:trHeight w:val="262"/>
              </w:trPr>
              <w:tc>
                <w:tcPr>
                  <w:tcW w:w="14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57C" w14:textId="77777777" w:rsidR="001E0E8E" w:rsidRPr="001E0E8E" w:rsidRDefault="00240F72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PROGRAM RADA - Upravni odjel za turizam u 2026. godini</w:t>
                  </w:r>
                </w:p>
              </w:tc>
            </w:tr>
          </w:tbl>
          <w:p w14:paraId="2858D3F7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</w:tr>
      <w:tr w:rsidR="008E38FF" w14:paraId="7C9F6187" w14:textId="77777777" w:rsidTr="006F0FB8">
        <w:trPr>
          <w:gridAfter w:val="3"/>
          <w:wAfter w:w="114" w:type="dxa"/>
          <w:trHeight w:val="60"/>
        </w:trPr>
        <w:tc>
          <w:tcPr>
            <w:tcW w:w="20" w:type="dxa"/>
          </w:tcPr>
          <w:p w14:paraId="0FCC7B2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465" w:type="dxa"/>
          </w:tcPr>
          <w:p w14:paraId="329D12C8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348" w:type="dxa"/>
            <w:gridSpan w:val="2"/>
          </w:tcPr>
          <w:p w14:paraId="4EE6626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46" w:type="dxa"/>
            <w:gridSpan w:val="2"/>
          </w:tcPr>
          <w:p w14:paraId="775A5B97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60789CF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15" w:type="dxa"/>
            <w:gridSpan w:val="3"/>
          </w:tcPr>
          <w:p w14:paraId="0E2A021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36CD16C8" w14:textId="77777777" w:rsidTr="006F0FB8">
        <w:trPr>
          <w:gridAfter w:val="3"/>
          <w:wAfter w:w="114" w:type="dxa"/>
          <w:trHeight w:val="340"/>
        </w:trPr>
        <w:tc>
          <w:tcPr>
            <w:tcW w:w="20" w:type="dxa"/>
          </w:tcPr>
          <w:p w14:paraId="096D803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507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6"/>
            </w:tblGrid>
            <w:tr w:rsidR="008E38FF" w14:paraId="29BA319F" w14:textId="77777777" w:rsidTr="006F0FB8">
              <w:trPr>
                <w:trHeight w:val="262"/>
              </w:trPr>
              <w:tc>
                <w:tcPr>
                  <w:tcW w:w="141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CED" w14:textId="77777777" w:rsidR="001E0E8E" w:rsidRPr="001E0E8E" w:rsidRDefault="00240F72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1. IZJAVA O ODGOVORNOSTI PROČELNICE UPRAVNOG ODJELA</w:t>
                  </w:r>
                </w:p>
              </w:tc>
            </w:tr>
          </w:tbl>
          <w:p w14:paraId="670E6C36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5" w:type="dxa"/>
            <w:gridSpan w:val="3"/>
          </w:tcPr>
          <w:p w14:paraId="2F5A507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3CE11DF6" w14:textId="77777777" w:rsidTr="006F0FB8">
        <w:trPr>
          <w:gridAfter w:val="3"/>
          <w:wAfter w:w="114" w:type="dxa"/>
          <w:trHeight w:val="100"/>
        </w:trPr>
        <w:tc>
          <w:tcPr>
            <w:tcW w:w="20" w:type="dxa"/>
          </w:tcPr>
          <w:p w14:paraId="74EFC9A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465" w:type="dxa"/>
          </w:tcPr>
          <w:p w14:paraId="2E18D594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348" w:type="dxa"/>
            <w:gridSpan w:val="2"/>
          </w:tcPr>
          <w:p w14:paraId="09C65F9E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46" w:type="dxa"/>
            <w:gridSpan w:val="2"/>
          </w:tcPr>
          <w:p w14:paraId="1A4EE38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5F7A7AB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15" w:type="dxa"/>
            <w:gridSpan w:val="3"/>
          </w:tcPr>
          <w:p w14:paraId="78C1C64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1C787548" w14:textId="77777777" w:rsidTr="006F0FB8">
        <w:trPr>
          <w:gridAfter w:val="3"/>
          <w:wAfter w:w="114" w:type="dxa"/>
        </w:trPr>
        <w:tc>
          <w:tcPr>
            <w:tcW w:w="15214" w:type="dxa"/>
            <w:gridSpan w:val="10"/>
          </w:tcPr>
          <w:tbl>
            <w:tblPr>
              <w:tblW w:w="0" w:type="auto"/>
              <w:tblBorders>
                <w:top w:val="single" w:sz="7" w:space="0" w:color="D3D3D3"/>
                <w:left w:val="single" w:sz="7" w:space="0" w:color="D3D3D3"/>
                <w:bottom w:val="single" w:sz="7" w:space="0" w:color="D3D3D3"/>
                <w:right w:val="single" w:sz="7" w:space="0" w:color="D3D3D3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65"/>
              <w:gridCol w:w="3652"/>
            </w:tblGrid>
            <w:tr w:rsidR="008E38FF" w14:paraId="40EBF23D" w14:textId="77777777" w:rsidTr="006F0FB8">
              <w:trPr>
                <w:trHeight w:val="19"/>
              </w:trPr>
              <w:tc>
                <w:tcPr>
                  <w:tcW w:w="11365" w:type="dxa"/>
                  <w:tcBorders>
                    <w:top w:val="single" w:sz="7" w:space="0" w:color="D3D3D3"/>
                    <w:left w:val="single" w:sz="7" w:space="0" w:color="D3D3D3"/>
                  </w:tcBorders>
                </w:tcPr>
                <w:p w14:paraId="234743CE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  <w:tc>
                <w:tcPr>
                  <w:tcW w:w="3652" w:type="dxa"/>
                  <w:tcBorders>
                    <w:top w:val="single" w:sz="7" w:space="0" w:color="D3D3D3"/>
                    <w:right w:val="single" w:sz="7" w:space="0" w:color="D3D3D3"/>
                  </w:tcBorders>
                </w:tcPr>
                <w:p w14:paraId="0000FCB9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</w:tr>
            <w:tr w:rsidR="008E38FF" w14:paraId="5E42EAAE" w14:textId="77777777" w:rsidTr="006F0FB8">
              <w:trPr>
                <w:trHeight w:val="869"/>
              </w:trPr>
              <w:tc>
                <w:tcPr>
                  <w:tcW w:w="15017" w:type="dxa"/>
                  <w:gridSpan w:val="2"/>
                  <w:tcBorders>
                    <w:left w:val="single" w:sz="7" w:space="0" w:color="D3D3D3"/>
                    <w:right w:val="single" w:sz="7" w:space="0" w:color="D3D3D3"/>
                  </w:tcBorders>
                </w:tcPr>
                <w:tbl>
                  <w:tblPr>
                    <w:tblW w:w="1468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687"/>
                  </w:tblGrid>
                  <w:tr w:rsidR="008E38FF" w14:paraId="6F9D7C8A" w14:textId="77777777" w:rsidTr="006F0FB8">
                    <w:trPr>
                      <w:trHeight w:val="806"/>
                    </w:trPr>
                    <w:tc>
                      <w:tcPr>
                        <w:tcW w:w="146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B8EE5F" w14:textId="77777777" w:rsidR="001E0E8E" w:rsidRPr="001E0E8E" w:rsidRDefault="00240F72" w:rsidP="001E0E8E">
                        <w:pPr>
                          <w:spacing w:after="160" w:line="276" w:lineRule="auto"/>
                          <w:jc w:val="left"/>
                          <w:rPr>
                            <w:rFonts w:cs="Arial"/>
                            <w:sz w:val="20"/>
                            <w:lang w:eastAsia="hr-HR"/>
                          </w:rPr>
                        </w:pP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Program Upravnog odjela za turizam Istarske županije za 2026. godinu usklađen je s Mandatnim i Provedbenim programom Istarske županije za razdoblje 2025-2029. godine. Shodno tome, izjavljujem da je isti zasnovan na važećim zakonskim propisima te usklađen s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a zahtjevima Istarske županije. U ime Upravnog odjela za turizam izražavam spremnost realizirati Program rada za 2026. godinu, u skladu s</w:t>
                        </w:r>
                        <w:r w:rsidRPr="001E0E8E">
                          <w:rPr>
                            <w:rFonts w:cs="Arial"/>
                            <w:sz w:val="20"/>
                            <w:lang w:eastAsia="hr-HR"/>
                          </w:rPr>
                          <w:t xml:space="preserve"> vizijom koju smo donijeli Master planom turizma Istre 2015-2025, a koja glasi: </w:t>
                        </w:r>
                        <w:r w:rsidRPr="001E0E8E">
                          <w:rPr>
                            <w:rFonts w:cs="Arial"/>
                            <w:b/>
                            <w:sz w:val="20"/>
                            <w:lang w:eastAsia="hr-HR"/>
                          </w:rPr>
                          <w:t>Istra 2025. je globalno prepoznata turi</w:t>
                        </w:r>
                        <w:r w:rsidRPr="001E0E8E">
                          <w:rPr>
                            <w:rFonts w:cs="Arial"/>
                            <w:b/>
                            <w:sz w:val="20"/>
                            <w:lang w:eastAsia="hr-HR"/>
                          </w:rPr>
                          <w:t>stička regija koja je svoje autentične vrijednosti uspješno integrirala u udoban i poželjan životni prostor. Istarski način života određuje njenu autentičnu regionalnost, koja na otvoren i pouzdan način razvija originalne, inovativne i konkurentne turistič</w:t>
                        </w:r>
                        <w:r w:rsidRPr="001E0E8E">
                          <w:rPr>
                            <w:rFonts w:cs="Arial"/>
                            <w:b/>
                            <w:sz w:val="20"/>
                            <w:lang w:eastAsia="hr-HR"/>
                          </w:rPr>
                          <w:t>ke proizvode kroz suradnju svih aktera</w:t>
                        </w:r>
                        <w:r w:rsidRPr="001E0E8E">
                          <w:rPr>
                            <w:rFonts w:cs="Arial"/>
                            <w:sz w:val="20"/>
                            <w:lang w:eastAsia="hr-HR"/>
                          </w:rPr>
                          <w:t>, te u skladu s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a sljedećim općim ciljevima UO za turizam: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br/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br/>
                          <w:t>- Održiv i odgovoran turizam s akcentom na vrednovanje tradicije, kulture i okoliša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br/>
                          <w:t xml:space="preserve">- Održivi turizam temeljen na kvaliteti usluge i autentičnim sadržajima 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br/>
                          <w:t xml:space="preserve">- 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Produženje turističke sezone i razvoj cjelogodišnjeg turizma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br/>
                          <w:t>- Kreiranje percepcije Istre kao prepoznatljive turističke destinacije</w:t>
                        </w: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br/>
                          <w:t>- Razvoj manje razvijenih područja za uravnoteženi turistički razvoj Istre</w:t>
                        </w:r>
                      </w:p>
                    </w:tc>
                  </w:tr>
                </w:tbl>
                <w:p w14:paraId="07BFA5A9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</w:tr>
            <w:tr w:rsidR="008E38FF" w14:paraId="7B782744" w14:textId="77777777" w:rsidTr="006F0FB8">
              <w:trPr>
                <w:trHeight w:val="100"/>
              </w:trPr>
              <w:tc>
                <w:tcPr>
                  <w:tcW w:w="11365" w:type="dxa"/>
                  <w:tcBorders>
                    <w:left w:val="single" w:sz="7" w:space="0" w:color="D3D3D3"/>
                  </w:tcBorders>
                </w:tcPr>
                <w:p w14:paraId="48320E72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  <w:tc>
                <w:tcPr>
                  <w:tcW w:w="3652" w:type="dxa"/>
                  <w:tcBorders>
                    <w:right w:val="single" w:sz="7" w:space="0" w:color="D3D3D3"/>
                  </w:tcBorders>
                </w:tcPr>
                <w:p w14:paraId="43610135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</w:tr>
            <w:tr w:rsidR="008E38FF" w14:paraId="3DDF1BE6" w14:textId="77777777" w:rsidTr="006F0FB8">
              <w:trPr>
                <w:trHeight w:val="840"/>
              </w:trPr>
              <w:tc>
                <w:tcPr>
                  <w:tcW w:w="11365" w:type="dxa"/>
                  <w:tcBorders>
                    <w:left w:val="single" w:sz="7" w:space="0" w:color="D3D3D3"/>
                  </w:tcBorders>
                </w:tcPr>
                <w:p w14:paraId="4B8753D0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  <w:tc>
                <w:tcPr>
                  <w:tcW w:w="3652" w:type="dxa"/>
                  <w:tcBorders>
                    <w:right w:val="single" w:sz="7" w:space="0" w:color="D3D3D3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8"/>
                  </w:tblGrid>
                  <w:tr w:rsidR="008E38FF" w14:paraId="0C570843" w14:textId="77777777" w:rsidTr="006F0FB8">
                    <w:trPr>
                      <w:trHeight w:val="762"/>
                    </w:trPr>
                    <w:tc>
                      <w:tcPr>
                        <w:tcW w:w="3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A732FF" w14:textId="77777777" w:rsidR="001E0E8E" w:rsidRPr="001E0E8E" w:rsidRDefault="00240F72" w:rsidP="001E0E8E">
                        <w:pPr>
                          <w:jc w:val="center"/>
                          <w:rPr>
                            <w:rFonts w:eastAsia="Arial" w:cs="Arial"/>
                            <w:sz w:val="20"/>
                            <w:lang w:eastAsia="hr-HR"/>
                          </w:rPr>
                        </w:pP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Pročelnica</w:t>
                        </w:r>
                      </w:p>
                      <w:p w14:paraId="265C31B6" w14:textId="77777777" w:rsidR="001E0E8E" w:rsidRPr="001E0E8E" w:rsidRDefault="00240F72" w:rsidP="001E0E8E">
                        <w:pPr>
                          <w:jc w:val="center"/>
                          <w:rPr>
                            <w:rFonts w:cs="Arial"/>
                            <w:sz w:val="20"/>
                            <w:lang w:eastAsia="hr-HR"/>
                          </w:rPr>
                        </w:pP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Nada Prodan Mraković</w:t>
                        </w:r>
                      </w:p>
                      <w:p w14:paraId="39EBDB20" w14:textId="77777777" w:rsidR="001E0E8E" w:rsidRPr="001E0E8E" w:rsidRDefault="001E0E8E" w:rsidP="001E0E8E">
                        <w:pPr>
                          <w:ind w:hanging="70"/>
                          <w:jc w:val="center"/>
                          <w:rPr>
                            <w:rFonts w:cs="Arial"/>
                            <w:sz w:val="20"/>
                            <w:lang w:eastAsia="hr-HR"/>
                          </w:rPr>
                        </w:pPr>
                      </w:p>
                      <w:p w14:paraId="28422375" w14:textId="77777777" w:rsidR="001E0E8E" w:rsidRPr="001E0E8E" w:rsidRDefault="00240F72" w:rsidP="001E0E8E">
                        <w:pPr>
                          <w:jc w:val="center"/>
                          <w:rPr>
                            <w:rFonts w:cs="Arial"/>
                            <w:sz w:val="20"/>
                            <w:lang w:eastAsia="hr-HR"/>
                          </w:rPr>
                        </w:pPr>
                        <w:r w:rsidRPr="001E0E8E">
                          <w:rPr>
                            <w:rFonts w:eastAsia="Arial" w:cs="Arial"/>
                            <w:sz w:val="20"/>
                            <w:lang w:eastAsia="hr-HR"/>
                          </w:rPr>
                          <w:t>___________________________</w:t>
                        </w:r>
                      </w:p>
                    </w:tc>
                  </w:tr>
                </w:tbl>
                <w:p w14:paraId="01E4B422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</w:tr>
            <w:tr w:rsidR="008E38FF" w14:paraId="5AC9ED1A" w14:textId="77777777" w:rsidTr="006F0FB8">
              <w:trPr>
                <w:trHeight w:val="89"/>
              </w:trPr>
              <w:tc>
                <w:tcPr>
                  <w:tcW w:w="11365" w:type="dxa"/>
                  <w:tcBorders>
                    <w:left w:val="single" w:sz="7" w:space="0" w:color="D3D3D3"/>
                    <w:bottom w:val="single" w:sz="7" w:space="0" w:color="D3D3D3"/>
                  </w:tcBorders>
                </w:tcPr>
                <w:p w14:paraId="333E0C17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  <w:tc>
                <w:tcPr>
                  <w:tcW w:w="3652" w:type="dxa"/>
                  <w:tcBorders>
                    <w:bottom w:val="single" w:sz="7" w:space="0" w:color="D3D3D3"/>
                    <w:right w:val="single" w:sz="7" w:space="0" w:color="D3D3D3"/>
                  </w:tcBorders>
                </w:tcPr>
                <w:p w14:paraId="6E62AE69" w14:textId="77777777" w:rsidR="001E0E8E" w:rsidRPr="001E0E8E" w:rsidRDefault="001E0E8E" w:rsidP="001E0E8E">
                  <w:pPr>
                    <w:jc w:val="left"/>
                    <w:rPr>
                      <w:rFonts w:cs="Arial"/>
                      <w:sz w:val="2"/>
                      <w:lang w:eastAsia="hr-HR"/>
                    </w:rPr>
                  </w:pPr>
                </w:p>
              </w:tc>
            </w:tr>
          </w:tbl>
          <w:p w14:paraId="0F99DB23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</w:tr>
      <w:tr w:rsidR="008E38FF" w14:paraId="70E57B16" w14:textId="77777777" w:rsidTr="006F0FB8">
        <w:trPr>
          <w:gridAfter w:val="3"/>
          <w:wAfter w:w="114" w:type="dxa"/>
          <w:trHeight w:val="154"/>
        </w:trPr>
        <w:tc>
          <w:tcPr>
            <w:tcW w:w="20" w:type="dxa"/>
          </w:tcPr>
          <w:p w14:paraId="5437FB0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465" w:type="dxa"/>
          </w:tcPr>
          <w:p w14:paraId="02A664BC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348" w:type="dxa"/>
            <w:gridSpan w:val="2"/>
          </w:tcPr>
          <w:p w14:paraId="4473395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46" w:type="dxa"/>
            <w:gridSpan w:val="2"/>
          </w:tcPr>
          <w:p w14:paraId="136ABB0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00961440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15" w:type="dxa"/>
            <w:gridSpan w:val="3"/>
          </w:tcPr>
          <w:p w14:paraId="189395C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33957477" w14:textId="77777777" w:rsidTr="006F0FB8">
        <w:trPr>
          <w:gridAfter w:val="1"/>
          <w:wAfter w:w="22" w:type="dxa"/>
          <w:trHeight w:val="320"/>
        </w:trPr>
        <w:tc>
          <w:tcPr>
            <w:tcW w:w="14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9"/>
            </w:tblGrid>
            <w:tr w:rsidR="008E38FF" w14:paraId="2B9D048E" w14:textId="77777777" w:rsidTr="006F0FB8">
              <w:trPr>
                <w:trHeight w:val="242"/>
              </w:trPr>
              <w:tc>
                <w:tcPr>
                  <w:tcW w:w="13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C23" w14:textId="77777777" w:rsidR="001E0E8E" w:rsidRPr="001E0E8E" w:rsidRDefault="00240F72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2. PRIKAZ AKTUALNOG STANJA</w:t>
                  </w:r>
                </w:p>
              </w:tc>
            </w:tr>
          </w:tbl>
          <w:p w14:paraId="41C48D42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244" w:type="dxa"/>
            <w:gridSpan w:val="3"/>
          </w:tcPr>
          <w:p w14:paraId="2C6BF65E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44D74260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8" w:type="dxa"/>
            <w:gridSpan w:val="3"/>
          </w:tcPr>
          <w:p w14:paraId="111A28A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181AB366" w14:textId="77777777" w:rsidTr="006F0FB8">
        <w:trPr>
          <w:trHeight w:val="144"/>
        </w:trPr>
        <w:tc>
          <w:tcPr>
            <w:tcW w:w="20" w:type="dxa"/>
          </w:tcPr>
          <w:p w14:paraId="07A1DA1E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  <w:gridSpan w:val="2"/>
          </w:tcPr>
          <w:p w14:paraId="67395F0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  <w:gridSpan w:val="2"/>
          </w:tcPr>
          <w:p w14:paraId="1F0071B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  <w:gridSpan w:val="4"/>
          </w:tcPr>
          <w:p w14:paraId="6F17DE02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  <w:gridSpan w:val="2"/>
          </w:tcPr>
          <w:p w14:paraId="01ACF315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62F625F2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52868A35" w14:textId="77777777" w:rsidTr="006F0FB8">
        <w:tc>
          <w:tcPr>
            <w:tcW w:w="20" w:type="dxa"/>
          </w:tcPr>
          <w:p w14:paraId="53610B8C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5188" w:type="dxa"/>
            <w:gridSpan w:val="8"/>
          </w:tcPr>
          <w:tbl>
            <w:tblPr>
              <w:tblW w:w="14990" w:type="dxa"/>
              <w:tblInd w:w="9" w:type="dxa"/>
              <w:tblBorders>
                <w:top w:val="single" w:sz="7" w:space="0" w:color="D3D3D3"/>
                <w:left w:val="single" w:sz="7" w:space="0" w:color="D3D3D3"/>
                <w:bottom w:val="single" w:sz="7" w:space="0" w:color="D3D3D3"/>
                <w:right w:val="single" w:sz="7" w:space="0" w:color="D3D3D3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"/>
              <w:gridCol w:w="7488"/>
              <w:gridCol w:w="7493"/>
            </w:tblGrid>
            <w:tr w:rsidR="008E38FF" w14:paraId="6BD212F3" w14:textId="77777777" w:rsidTr="006F0FB8">
              <w:trPr>
                <w:gridBefore w:val="1"/>
                <w:wBefore w:w="9" w:type="dxa"/>
                <w:trHeight w:val="262"/>
              </w:trPr>
              <w:tc>
                <w:tcPr>
                  <w:tcW w:w="7488" w:type="dxa"/>
                  <w:tcBorders>
                    <w:top w:val="single" w:sz="7" w:space="0" w:color="D3D3D3"/>
                    <w:left w:val="single" w:sz="7" w:space="0" w:color="D3D3D3"/>
                    <w:bottom w:val="single" w:sz="8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C3D" w14:textId="77777777" w:rsidR="001E0E8E" w:rsidRPr="001E0E8E" w:rsidRDefault="00240F72" w:rsidP="001E0E8E">
                  <w:pPr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POVOLJNE MOGUĆNOSTI</w:t>
                  </w:r>
                </w:p>
              </w:tc>
              <w:tc>
                <w:tcPr>
                  <w:tcW w:w="7493" w:type="dxa"/>
                  <w:tcBorders>
                    <w:top w:val="single" w:sz="7" w:space="0" w:color="D3D3D3"/>
                    <w:left w:val="nil"/>
                    <w:bottom w:val="single" w:sz="8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FCF5" w14:textId="77777777" w:rsidR="001E0E8E" w:rsidRPr="001E0E8E" w:rsidRDefault="00240F72" w:rsidP="001E0E8E">
                  <w:pPr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PROBLEMI</w:t>
                  </w:r>
                </w:p>
              </w:tc>
            </w:tr>
            <w:tr w:rsidR="008E38FF" w14:paraId="0F06B37E" w14:textId="77777777" w:rsidTr="006F0FB8">
              <w:trPr>
                <w:gridBefore w:val="1"/>
                <w:wBefore w:w="9" w:type="dxa"/>
                <w:trHeight w:val="340"/>
              </w:trPr>
              <w:tc>
                <w:tcPr>
                  <w:tcW w:w="7488" w:type="dxa"/>
                  <w:tcBorders>
                    <w:top w:val="single" w:sz="8" w:space="0" w:color="D3D3D3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DED35" w14:textId="77777777" w:rsidR="001E0E8E" w:rsidRDefault="00240F72" w:rsidP="001E0E8E">
                  <w:pPr>
                    <w:jc w:val="center"/>
                    <w:rPr>
                      <w:rFonts w:eastAsia="Arial"/>
                      <w:b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t>POVOLJNE MOGUĆNOSTI ISTARSKOG TURIZMA - OPĆENITO</w:t>
                  </w: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t xml:space="preserve">opće opredjeljenje dionika u turizmu o važnosti razvoja održivog </w:t>
                  </w:r>
                </w:p>
                <w:p w14:paraId="7DF2110C" w14:textId="77777777" w:rsidR="001E0E8E" w:rsidRPr="001E0E8E" w:rsidRDefault="00240F72" w:rsidP="001E0E8E">
                  <w:pPr>
                    <w:jc w:val="center"/>
                    <w:rPr>
                      <w:rFonts w:eastAsia="Arial"/>
                      <w:b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t>i odgovornog turizma sa okolišnog i društvenog aspekta</w:t>
                  </w:r>
                </w:p>
                <w:p w14:paraId="4A84F0DF" w14:textId="77777777" w:rsidR="001E0E8E" w:rsidRPr="001E0E8E" w:rsidRDefault="001E0E8E" w:rsidP="001E0E8E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eastAsia="hr-HR"/>
                    </w:rPr>
                  </w:pPr>
                </w:p>
              </w:tc>
              <w:tc>
                <w:tcPr>
                  <w:tcW w:w="7493" w:type="dxa"/>
                  <w:tcBorders>
                    <w:top w:val="single" w:sz="8" w:space="0" w:color="D3D3D3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196A0F" w14:textId="77777777" w:rsidR="001E0E8E" w:rsidRPr="001E0E8E" w:rsidRDefault="00240F72" w:rsidP="001E0E8E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t>PROBLEMI ISTARSKOG TURIZMA - OPĆENITO</w:t>
                  </w:r>
                </w:p>
              </w:tc>
            </w:tr>
            <w:tr w:rsidR="008E38FF" w14:paraId="69E74589" w14:textId="77777777" w:rsidTr="001E0E8E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359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ADC9" w14:textId="77777777" w:rsidR="001E0E8E" w:rsidRPr="00335028" w:rsidRDefault="00240F72">
                  <w:pPr>
                    <w:pStyle w:val="Odlomakpopisa"/>
                    <w:numPr>
                      <w:ilvl w:val="0"/>
                      <w:numId w:val="15"/>
                    </w:numPr>
                    <w:spacing w:after="160" w:line="259" w:lineRule="auto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>
                    <w:rPr>
                      <w:rFonts w:cs="Arial"/>
                      <w:sz w:val="20"/>
                      <w:lang w:eastAsia="hr-HR"/>
                    </w:rPr>
                    <w:t>Izrada Plana upravljanja destinacijom od strane TZIŽ, a na temelju Zakona o turizmu (NN 156/23)</w:t>
                  </w:r>
                  <w:r>
                    <w:rPr>
                      <w:rFonts w:cs="Arial"/>
                      <w:sz w:val="20"/>
                      <w:lang w:eastAsia="hr-HR"/>
                    </w:rPr>
                    <w:t>, kojemu je svrha osigurati održivi i odgovorni razvoj destinacije. U sklopu toga trebao bi se osnovati Stručni savjet za prov</w:t>
                  </w:r>
                  <w:r w:rsidR="0075750D">
                    <w:rPr>
                      <w:rFonts w:cs="Arial"/>
                      <w:sz w:val="20"/>
                      <w:lang w:eastAsia="hr-HR"/>
                    </w:rPr>
                    <w:t>e</w:t>
                  </w:r>
                  <w:r>
                    <w:rPr>
                      <w:rFonts w:cs="Arial"/>
                      <w:sz w:val="20"/>
                      <w:lang w:eastAsia="hr-HR"/>
                    </w:rPr>
                    <w:t>dbu i praćenje Plana.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73B7B6A8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nepovoljna struktura smještajnih kapaciteta na razini IŽ</w:t>
                  </w:r>
                </w:p>
              </w:tc>
            </w:tr>
            <w:tr w:rsidR="008E38FF" w14:paraId="567A3ED7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985F" w14:textId="77777777" w:rsidR="001E0E8E" w:rsidRPr="00335028" w:rsidRDefault="00240F72">
                  <w:pPr>
                    <w:pStyle w:val="Odlomakpopisa"/>
                    <w:numPr>
                      <w:ilvl w:val="0"/>
                      <w:numId w:val="14"/>
                    </w:numPr>
                    <w:spacing w:after="160" w:line="259" w:lineRule="auto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335028">
                    <w:rPr>
                      <w:rFonts w:eastAsia="Arial"/>
                      <w:sz w:val="20"/>
                      <w:lang w:eastAsia="hr-HR"/>
                    </w:rPr>
                    <w:lastRenderedPageBreak/>
                    <w:t xml:space="preserve">postojanje Master plana razvoja turizma Istre za razdoblje 2015.-2025., te pokretanje izrade novog Master plana razvoja turizma Istre za naredno višegodišnje razdoblje </w:t>
                  </w:r>
                </w:p>
                <w:p w14:paraId="4FD95B2A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>
                    <w:rPr>
                      <w:rFonts w:eastAsia="Arial"/>
                      <w:sz w:val="20"/>
                      <w:lang w:eastAsia="hr-HR"/>
                    </w:rPr>
                    <w:t xml:space="preserve">aktivna </w:t>
                  </w:r>
                  <w:r w:rsidR="002431DA" w:rsidRPr="001E0E8E">
                    <w:rPr>
                      <w:rFonts w:eastAsia="Arial"/>
                      <w:sz w:val="20"/>
                      <w:lang w:eastAsia="hr-HR"/>
                    </w:rPr>
                    <w:t>suradnja UO za turizam IŽ s Ministarstvom turizma i sporta RH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608B2E40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nastavak apartman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izacije diljem Istre, poglavito uz more, te nekontroliran rast privatnog smještaja bez jasnih gornjih granica rasta koje još uvijek nisu postavljene</w:t>
                  </w:r>
                </w:p>
              </w:tc>
            </w:tr>
            <w:tr w:rsidR="008E38FF" w14:paraId="568E4753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A608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suradnja UO za turizam IŽ s lokalnim Turističkim zajednicama</w:t>
                  </w:r>
                  <w:r w:rsidR="00335028">
                    <w:rPr>
                      <w:rFonts w:eastAsia="Arial"/>
                      <w:sz w:val="20"/>
                      <w:lang w:eastAsia="hr-HR"/>
                    </w:rPr>
                    <w:t xml:space="preserve"> i TZIŽ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14F35847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 tipična gradnja objekata (kuća za odmor) diljem Istre i gubljenje autentičnosti</w:t>
                  </w:r>
                </w:p>
              </w:tc>
            </w:tr>
            <w:tr w:rsidR="008E38FF" w14:paraId="69287A74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973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razvoj selektivnih/posebnih oblika turizma koji jačaju pred i posezonu i disperziraju ponudu diljem cijele Istre, a poglavito u njenoj unutrašnjosti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3069E2A4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nedostatak kadrova s ob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zirom na potrebe u turizmu</w:t>
                  </w:r>
                </w:p>
              </w:tc>
            </w:tr>
            <w:tr w:rsidR="008E38FF" w14:paraId="7462459C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BEA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provođenje sustava upravljanja kvalitetom u turizmu u Istarskoj županiji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6CE04FCC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pretvaranje stanova u stambenim zgradama u turističke smještaje čime se narušava kvaliteta života stanara, a smanjuje kvaliteta usluge u turizmu</w:t>
                  </w:r>
                </w:p>
              </w:tc>
            </w:tr>
            <w:tr w:rsidR="008E38FF" w14:paraId="3EA9A0CF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F4A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dugogodišnje sustavno poticanje turizma u manje razvijenim područjima i kontinuirano povećanje dolazaka i noćenja na tim područjima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43F59032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formalno obrazovanje turističkih i ugostiteljskih kadrova nije prilagođeno svjetskim trendovima u turizmu i stvarnim potreba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ma gospodarstva</w:t>
                  </w:r>
                </w:p>
              </w:tc>
            </w:tr>
            <w:tr w:rsidR="008E38FF" w14:paraId="62F33827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C74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pozitivna tendencija produženja turističke sezone tj. razvoja cjelogodišnjeg turizma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4D697D28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nepovoljna zakonska, fiskalna i parafiskalna regulativa u pojedinim segmentima turizma</w:t>
                  </w:r>
                </w:p>
              </w:tc>
            </w:tr>
            <w:tr w:rsidR="008E38FF" w14:paraId="0FA23185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B18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postignut opći konsenzus na nivou privatnog i javnog sektora o potrebi stvaranja sinergije tj. zajedničke suradnje i strategije razvoja, posebice u segmentu proizvoda Istra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 (postojanje IRTA-e)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432222EA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vrlo složena, komplicirana birokracija i zakonska regul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ativa ugostiteljsko-turističkog sektora</w:t>
                  </w:r>
                </w:p>
              </w:tc>
            </w:tr>
            <w:tr w:rsidR="008E38FF" w14:paraId="02144787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619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6BDE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punopravno članstvo Hrvatske u Europskoj uniji te s tim povezan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image</w:t>
                  </w:r>
                  <w:proofErr w:type="spellEnd"/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 i rejting zemlje, što pruža mogućnost financiranja iz izdašnih strukturnih i kohezijskih fondova kao preduvjet za brži i kvalitetniji razvoj naše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g gospodarstva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61011876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neriješeni status turističkog zemljišta (naknada se ne naplaćuje i od 2020. godine se ne dodjeljuju sredstva iz Fonda za turizam)</w:t>
                  </w:r>
                </w:p>
              </w:tc>
            </w:tr>
            <w:tr w:rsidR="008E38FF" w14:paraId="306F8097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5A8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shvaćanje važnosti i bolji tretman turizma, kao jedne od najpropulzivnijih grana gospodarstva, od strane 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Ministarstva turizma i sporta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6E93A00A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neučinkovita turistička inspekcija i uslijed toga bujanje sivog tržišta, nelojalne konkurencije i nereda u segmentu iznajmljivanja privatnog smještaja</w:t>
                  </w:r>
                </w:p>
              </w:tc>
            </w:tr>
            <w:tr w:rsidR="008E38FF" w14:paraId="4636C8E0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FC7E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uslijed razvoja poljoprivrede i turizma na turistički manje razvijenim područjima, potiče se ruralno stanovništvo na ostanak u ruralnim krajevima, poglavito mladih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14774D3C" w14:textId="77777777" w:rsidR="001E0E8E" w:rsidRPr="001E0E8E" w:rsidRDefault="001E0E8E" w:rsidP="001E0E8E">
                  <w:pPr>
                    <w:jc w:val="center"/>
                    <w:rPr>
                      <w:rFonts w:eastAsia="Arial"/>
                      <w:b/>
                      <w:sz w:val="20"/>
                      <w:lang w:eastAsia="hr-HR"/>
                    </w:rPr>
                  </w:pPr>
                </w:p>
                <w:p w14:paraId="3FDABA02" w14:textId="77777777" w:rsidR="001E0E8E" w:rsidRPr="001E0E8E" w:rsidRDefault="00240F72" w:rsidP="001E0E8E">
                  <w:pPr>
                    <w:jc w:val="center"/>
                    <w:rPr>
                      <w:rFonts w:eastAsia="Arial"/>
                      <w:b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t xml:space="preserve">PROBLEMI S ASPEKTA POVJERENIH POSLOVA </w:t>
                  </w:r>
                </w:p>
                <w:p w14:paraId="451EB5F1" w14:textId="77777777" w:rsidR="001E0E8E" w:rsidRPr="001E0E8E" w:rsidRDefault="00240F72" w:rsidP="001E0E8E">
                  <w:pPr>
                    <w:jc w:val="center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b/>
                      <w:sz w:val="20"/>
                      <w:lang w:eastAsia="hr-HR"/>
                    </w:rPr>
                    <w:t>DRŽAVNE UPRAVE U ISTARSKOJ ŽUPANIJI</w:t>
                  </w:r>
                </w:p>
              </w:tc>
            </w:tr>
            <w:tr w:rsidR="008E38FF" w14:paraId="754DE229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98C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lastRenderedPageBreak/>
                    <w:t>izrada Središnj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eg turističkog registra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280C2756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b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nepostojanje, odnosno nemogućnost detaljnog pregleda i uvida u digitalnu bazu podataka zaprimljenih i izdanih predmeta vezano za poslove bivšeg Ureda držane uprave</w:t>
                  </w:r>
                </w:p>
              </w:tc>
            </w:tr>
            <w:tr w:rsidR="008E38FF" w14:paraId="3EC84BDD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2984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>očuvana priroda i zaštita prostora (parkovi prirode, nacionalni par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k i općenito zaštićeni dijelovi)</w:t>
                  </w: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7D479912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ascii="Times New Roman" w:hAnsi="Times New Roman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Središnji turistički registar i sustav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eTurizam</w:t>
                  </w:r>
                  <w:proofErr w:type="spellEnd"/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 u fazi produkcije ne omogućava isporuku u korisnički pretinac građana u skladu sa Zakonom o općem upravnom postupku, nemogućnost izrade digitalnog akta- rješenja u obliku elek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troničke isprave, nemogućnost isporuke digitalnih rješenja u skladu s propisima putem sustava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eTurizam</w:t>
                  </w:r>
                  <w:proofErr w:type="spellEnd"/>
                </w:p>
              </w:tc>
            </w:tr>
            <w:tr w:rsidR="008E38FF" w14:paraId="23AF213F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2EBC" w14:textId="77777777" w:rsidR="001E0E8E" w:rsidRPr="001E0E8E" w:rsidRDefault="001E0E8E" w:rsidP="001E0E8E">
                  <w:pPr>
                    <w:ind w:left="720"/>
                    <w:jc w:val="left"/>
                    <w:rPr>
                      <w:rFonts w:eastAsia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nil"/>
                    <w:right w:val="single" w:sz="8" w:space="0" w:color="D3D3D3"/>
                  </w:tcBorders>
                </w:tcPr>
                <w:p w14:paraId="6BF4A6C7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eastAsia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opsežan i izvanredni dodatni posao konsolidacije i verifikacije te uspostave ažurirane baze podataka na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STRu</w:t>
                  </w:r>
                  <w:proofErr w:type="spellEnd"/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 za koji nisu osigurana dodatna </w:t>
                  </w:r>
                  <w:r w:rsidRPr="001E0E8E">
                    <w:rPr>
                      <w:rFonts w:eastAsia="Arial"/>
                      <w:sz w:val="20"/>
                      <w:lang w:eastAsia="hr-HR"/>
                    </w:rPr>
                    <w:t>sredstva niti je omogućeno dodatno zapošljavanje</w:t>
                  </w:r>
                </w:p>
              </w:tc>
            </w:tr>
            <w:tr w:rsidR="008E38FF" w14:paraId="25EAA200" w14:textId="77777777" w:rsidTr="006F0FB8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4A0" w:firstRow="1" w:lastRow="0" w:firstColumn="1" w:lastColumn="0" w:noHBand="0" w:noVBand="1"/>
              </w:tblPrEx>
              <w:trPr>
                <w:trHeight w:val="262"/>
              </w:trPr>
              <w:tc>
                <w:tcPr>
                  <w:tcW w:w="7497" w:type="dxa"/>
                  <w:gridSpan w:val="2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3898" w14:textId="77777777" w:rsidR="001E0E8E" w:rsidRPr="001E0E8E" w:rsidRDefault="001E0E8E" w:rsidP="001E0E8E">
                  <w:pPr>
                    <w:ind w:left="720"/>
                    <w:jc w:val="left"/>
                    <w:rPr>
                      <w:rFonts w:eastAsia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493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</w:tcPr>
                <w:p w14:paraId="2DD6D65E" w14:textId="77777777" w:rsidR="001E0E8E" w:rsidRPr="001E0E8E" w:rsidRDefault="00240F72" w:rsidP="001E0E8E">
                  <w:pPr>
                    <w:numPr>
                      <w:ilvl w:val="0"/>
                      <w:numId w:val="13"/>
                    </w:numPr>
                    <w:spacing w:after="160" w:line="259" w:lineRule="auto"/>
                    <w:ind w:left="720" w:hanging="360"/>
                    <w:jc w:val="left"/>
                    <w:rPr>
                      <w:rFonts w:eastAsia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nepovezanost sustava uredskog poslovanja sa sustavima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eTurizma</w:t>
                  </w:r>
                  <w:proofErr w:type="spellEnd"/>
                  <w:r w:rsidRPr="001E0E8E">
                    <w:rPr>
                      <w:rFonts w:eastAsia="Arial"/>
                      <w:sz w:val="20"/>
                      <w:lang w:eastAsia="hr-HR"/>
                    </w:rPr>
                    <w:t xml:space="preserve"> i </w:t>
                  </w:r>
                  <w:proofErr w:type="spellStart"/>
                  <w:r w:rsidRPr="001E0E8E">
                    <w:rPr>
                      <w:rFonts w:eastAsia="Arial"/>
                      <w:sz w:val="20"/>
                      <w:lang w:eastAsia="hr-HR"/>
                    </w:rPr>
                    <w:t>ZUPITa</w:t>
                  </w:r>
                  <w:proofErr w:type="spellEnd"/>
                </w:p>
              </w:tc>
            </w:tr>
          </w:tbl>
          <w:p w14:paraId="3555A946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20" w:type="dxa"/>
            <w:gridSpan w:val="2"/>
          </w:tcPr>
          <w:p w14:paraId="324BC30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1F85291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66258731" w14:textId="77777777" w:rsidTr="006F0FB8">
        <w:trPr>
          <w:trHeight w:val="205"/>
        </w:trPr>
        <w:tc>
          <w:tcPr>
            <w:tcW w:w="20" w:type="dxa"/>
          </w:tcPr>
          <w:p w14:paraId="0E71033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  <w:gridSpan w:val="2"/>
          </w:tcPr>
          <w:p w14:paraId="20947D3E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  <w:gridSpan w:val="2"/>
          </w:tcPr>
          <w:p w14:paraId="7B95727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  <w:gridSpan w:val="4"/>
          </w:tcPr>
          <w:p w14:paraId="2F5508E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  <w:gridSpan w:val="2"/>
          </w:tcPr>
          <w:p w14:paraId="6C42B538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562F0D7E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</w:tbl>
    <w:p w14:paraId="48C05CA2" w14:textId="77777777" w:rsidR="001E0E8E" w:rsidRPr="001E0E8E" w:rsidRDefault="00240F72" w:rsidP="001E0E8E">
      <w:pPr>
        <w:spacing w:after="160" w:line="259" w:lineRule="auto"/>
        <w:jc w:val="left"/>
        <w:rPr>
          <w:rFonts w:ascii="Times New Roman" w:hAnsi="Times New Roman"/>
          <w:sz w:val="20"/>
          <w:lang w:eastAsia="hr-HR"/>
        </w:rPr>
      </w:pPr>
      <w:r w:rsidRPr="001E0E8E">
        <w:rPr>
          <w:rFonts w:ascii="Times New Roman" w:hAnsi="Times New Roman"/>
          <w:sz w:val="20"/>
          <w:lang w:eastAsia="hr-HR"/>
        </w:rPr>
        <w:br w:type="page"/>
      </w:r>
    </w:p>
    <w:tbl>
      <w:tblPr>
        <w:tblW w:w="153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507"/>
        <w:gridCol w:w="9417"/>
        <w:gridCol w:w="264"/>
        <w:gridCol w:w="20"/>
        <w:gridCol w:w="78"/>
        <w:gridCol w:w="22"/>
      </w:tblGrid>
      <w:tr w:rsidR="008E38FF" w14:paraId="6D913106" w14:textId="77777777" w:rsidTr="006F0FB8">
        <w:trPr>
          <w:trHeight w:val="340"/>
        </w:trPr>
        <w:tc>
          <w:tcPr>
            <w:tcW w:w="1494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9"/>
            </w:tblGrid>
            <w:tr w:rsidR="008E38FF" w14:paraId="4357DCF4" w14:textId="77777777" w:rsidTr="006F0FB8">
              <w:trPr>
                <w:trHeight w:val="262"/>
              </w:trPr>
              <w:tc>
                <w:tcPr>
                  <w:tcW w:w="13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9A08" w14:textId="77777777" w:rsidR="001E0E8E" w:rsidRPr="001E0E8E" w:rsidRDefault="00240F72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lastRenderedPageBreak/>
                    <w:t>3. CILJEVI KOJI SE PLANIRAJU POSTIĆI</w:t>
                  </w:r>
                </w:p>
              </w:tc>
            </w:tr>
          </w:tbl>
          <w:p w14:paraId="1CC45163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264" w:type="dxa"/>
          </w:tcPr>
          <w:p w14:paraId="32730727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01E621E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74AEB63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5673B43F" w14:textId="77777777" w:rsidTr="006F0FB8">
        <w:trPr>
          <w:trHeight w:val="59"/>
        </w:trPr>
        <w:tc>
          <w:tcPr>
            <w:tcW w:w="20" w:type="dxa"/>
          </w:tcPr>
          <w:p w14:paraId="7612AA3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</w:tcPr>
          <w:p w14:paraId="4519D820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</w:tcPr>
          <w:p w14:paraId="0B85281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</w:tcPr>
          <w:p w14:paraId="0E605D8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21F146C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403543B8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7DB116EA" w14:textId="77777777" w:rsidTr="006F0FB8">
        <w:trPr>
          <w:gridAfter w:val="1"/>
          <w:wAfter w:w="22" w:type="dxa"/>
        </w:trPr>
        <w:tc>
          <w:tcPr>
            <w:tcW w:w="1530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2"/>
              <w:gridCol w:w="6574"/>
              <w:gridCol w:w="7801"/>
            </w:tblGrid>
            <w:tr w:rsidR="008E38FF" w14:paraId="28852B8F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BCE3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2EC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CILJ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C3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MJERILO POSTIGNUĆA</w:t>
                  </w:r>
                </w:p>
              </w:tc>
            </w:tr>
            <w:tr w:rsidR="008E38FF" w14:paraId="68BB3F30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4CB4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</w:t>
                  </w: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7B48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Valorizacija i promocija Istre kao vrhunske turističke destinacije 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159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i važnost turističkih manifestacija koje se održavaju na manje razvijenim područjima Istre u skladu s općim ciljevima i prioritetima odjela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i važnost sufinanciranih top manif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estacija i broj posjetitelja na top manifestacijama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stvoreni brend/percepcija na nacionalnom i međunarodnom tržištu o Istri kao konkurentnoj regiji s autentičnom turističkom ponudom</w:t>
                  </w:r>
                </w:p>
                <w:p w14:paraId="180A932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• Izrada i realizacija Plana upravljanja destinacijom – nadzor nad svim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fazama planiranja i provedbe, uz osiguravanje usklađenosti s ciljevima održivog razvoja destinacije kroz Stručni savjet za upravljanje destinacijom Istra.</w:t>
                  </w:r>
                </w:p>
              </w:tc>
            </w:tr>
            <w:tr w:rsidR="008E38FF" w14:paraId="328BA69E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40B5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</w:t>
                  </w: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4394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Jačanje ljudskih resursa u turizmu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8B5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broj edukacija turističkih djelatnika i teme koje su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usklađene s općim ciljevima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polaznika na radionicama</w:t>
                  </w:r>
                </w:p>
                <w:p w14:paraId="5CCCA96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broj održanih i pohađanih edukacija službenika za rad u sustavu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DŠJU te Ministarstva turizma i sporta RH i sustava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HTZa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vezano za izradu Planova upravljanja destinacijama</w:t>
                  </w:r>
                </w:p>
              </w:tc>
            </w:tr>
            <w:tr w:rsidR="008E38FF" w14:paraId="16C22EA8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3B8D7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</w:t>
                  </w: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6E7D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Podupiranj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e i razvoj selektivnih/posebnih oblika turizma 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3E3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broj kvalitetnih uređenih i obilježenih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staza (bike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trail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)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i kvaliteta sufinanciranih ostalih posebnih oblika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broj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cikloturista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sportaša, rekreativaca, slobodnih penjača i dr.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stupanj razvoja i suradnja u razvoju selektivnih oblika turizma Istre (ruralnog i kulturnog turizma, razvoj brendova (tartufi, maslinovo ulje i sl.), aktivnog turizma -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</w:t>
                  </w:r>
                  <w:r w:rsidR="00335028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 kvaliteta sufinanciranih turističkih projekata koji se provode n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manje razvijenim područjima u skladu s općim ciljevima i prioritetima odjela</w:t>
                  </w:r>
                </w:p>
                <w:p w14:paraId="0CA450F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• broj sadržaja i posjeta web platforme ''To do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Istria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''</w:t>
                  </w:r>
                </w:p>
              </w:tc>
            </w:tr>
            <w:tr w:rsidR="008E38FF" w14:paraId="07B32F90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4953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</w:t>
                  </w: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DED1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Razvoj zelenog turizma 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AAC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kvaliteta ekološki certificiranih sadržaja u brošuri Istra ecoxperience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sadržaja i posjeta web stranice Istraecoxperience.com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Eco Domus objekata i njihova rasprostranjenost po Istri te broj kontrola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uključenost ostalih dionika u turizmu u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zelenu tranziciju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rezultati mjerenja održivog razvoja turizma Istre kroz prikupljene pokazatelje </w:t>
                  </w:r>
                </w:p>
                <w:p w14:paraId="556E68B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razina turističke valorizacije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Limskog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zaljeva, ornitološkog rezervata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Palud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drugih zaštićenih područja</w:t>
                  </w:r>
                </w:p>
              </w:tc>
            </w:tr>
            <w:tr w:rsidR="008E38FF" w14:paraId="43BF6653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451F3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E</w:t>
                  </w: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8985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Razvoj turističke infrastrukture i poticanje investicija veće dodane vrijednosti 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86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strateških razvojnih projekta Istre – razmatranje, iniciranje i davanje preporuka za ključne projekte koji doprinose dugoročnom razvoju turističke ponude i infrastrukt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ure Istre kroz Stručni savjet za upravljanje destinacijom Istra.</w:t>
                  </w:r>
                </w:p>
                <w:p w14:paraId="0571E81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turističkih projekata financiranih iz raznih EU i nacionalnih fondova</w:t>
                  </w:r>
                  <w:r w:rsidRPr="001E0E8E">
                    <w:rPr>
                      <w:rFonts w:eastAsia="Arial" w:cs="Arial"/>
                      <w:strike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turističkih projekata u bazi i broj identificiranih ključnih projekata</w:t>
                  </w:r>
                  <w:r w:rsidRPr="001E0E8E">
                    <w:rPr>
                      <w:rFonts w:eastAsia="Arial" w:cs="Arial"/>
                      <w:strike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korisnika i stupanj uređenost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i biciklističke i pješačke staze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i stupanj uređenosti, tematizacija i razina pristupačnosti plaža prema dokumentu Regionalni plan uređenja i upravljanja plažama Istre</w:t>
                  </w:r>
                </w:p>
                <w:p w14:paraId="7DE1351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broj i stupanj uređenosti javne turističke infrastrukture za koju smo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dali sredstva kroz pomoć turistički manje razvijenim područjima Istre</w:t>
                  </w:r>
                </w:p>
              </w:tc>
            </w:tr>
            <w:tr w:rsidR="008E38FF" w14:paraId="38C7FDE6" w14:textId="77777777" w:rsidTr="006F0FB8">
              <w:trPr>
                <w:trHeight w:val="292"/>
              </w:trPr>
              <w:tc>
                <w:tcPr>
                  <w:tcW w:w="6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5481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F</w:t>
                  </w:r>
                </w:p>
              </w:tc>
              <w:tc>
                <w:tcPr>
                  <w:tcW w:w="65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C185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Uspostava sustava efikasne javne uprave i administracije, digitalizacija  upravnih procesa: povjereni poslovi državne uprave u Istarskoj županiji</w:t>
                  </w:r>
                </w:p>
              </w:tc>
              <w:tc>
                <w:tcPr>
                  <w:tcW w:w="78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787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Povezivanje digitalnih baza podatak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iz područja turizma i ugostiteljstva sa uredskim poslovanjem radi efikasnije digitalizacije sustava te dostave rješenja u korisnički pretinac građana putem javne državne infrastrukture</w:t>
                  </w:r>
                </w:p>
                <w:p w14:paraId="59EDF89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broj zaprimljenih predmeta u odnosu na broj službenika,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riješ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enih predmeta godišnje po službeniku,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žalbi i drugostupanjskih rješenja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broj prigovora na postupanje i broj pohvala za rad službenika</w:t>
                  </w:r>
                </w:p>
                <w:p w14:paraId="1965FCD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konsolidiranih i verificiranih predmeta u sustavu Središnjeg turističkog registra</w:t>
                  </w:r>
                </w:p>
                <w:p w14:paraId="78A18AF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unosa materijalni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h zahtjeva u sustav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eTurizam</w:t>
                  </w:r>
                  <w:proofErr w:type="spellEnd"/>
                </w:p>
                <w:p w14:paraId="685DDF4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uspostava digitalizirane baze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Geoportala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ugostiteljstva Istarske županije</w:t>
                  </w:r>
                </w:p>
                <w:p w14:paraId="744C939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broj pohađanih edukacija službenika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• broj održanih sastanaka i koordinacija unutar odjela te na radnim skupinama Ministarstva i Hrvatske zajednice županija</w:t>
                  </w:r>
                </w:p>
              </w:tc>
            </w:tr>
          </w:tbl>
          <w:p w14:paraId="6B6430CD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</w:tr>
      <w:tr w:rsidR="008E38FF" w14:paraId="2830F343" w14:textId="77777777" w:rsidTr="006F0FB8">
        <w:trPr>
          <w:trHeight w:val="243"/>
        </w:trPr>
        <w:tc>
          <w:tcPr>
            <w:tcW w:w="20" w:type="dxa"/>
          </w:tcPr>
          <w:p w14:paraId="0DC90553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</w:tcPr>
          <w:p w14:paraId="73DDED6F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</w:tcPr>
          <w:p w14:paraId="23EAA294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</w:tcPr>
          <w:p w14:paraId="7B6BC6E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70BB7705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62D1DDA5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</w:tbl>
    <w:p w14:paraId="78F10F87" w14:textId="77777777" w:rsidR="001E0E8E" w:rsidRPr="001E0E8E" w:rsidRDefault="00240F72" w:rsidP="001E0E8E">
      <w:pPr>
        <w:spacing w:after="160" w:line="259" w:lineRule="auto"/>
        <w:jc w:val="left"/>
        <w:rPr>
          <w:rFonts w:ascii="Times New Roman" w:hAnsi="Times New Roman"/>
          <w:sz w:val="20"/>
          <w:lang w:eastAsia="hr-HR"/>
        </w:rPr>
      </w:pPr>
      <w:r w:rsidRPr="001E0E8E">
        <w:rPr>
          <w:rFonts w:ascii="Times New Roman" w:hAnsi="Times New Roman"/>
          <w:sz w:val="20"/>
          <w:lang w:eastAsia="hr-HR"/>
        </w:rPr>
        <w:br w:type="page"/>
      </w:r>
    </w:p>
    <w:tbl>
      <w:tblPr>
        <w:tblW w:w="153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507"/>
        <w:gridCol w:w="9417"/>
        <w:gridCol w:w="244"/>
        <w:gridCol w:w="20"/>
        <w:gridCol w:w="20"/>
        <w:gridCol w:w="78"/>
        <w:gridCol w:w="22"/>
      </w:tblGrid>
      <w:tr w:rsidR="008E38FF" w14:paraId="60D56F5B" w14:textId="77777777" w:rsidTr="006F0FB8">
        <w:trPr>
          <w:gridAfter w:val="1"/>
          <w:wAfter w:w="22" w:type="dxa"/>
          <w:trHeight w:val="340"/>
        </w:trPr>
        <w:tc>
          <w:tcPr>
            <w:tcW w:w="552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35"/>
            </w:tblGrid>
            <w:tr w:rsidR="008E38FF" w14:paraId="01E3C86A" w14:textId="77777777" w:rsidTr="006F0FB8">
              <w:trPr>
                <w:trHeight w:val="262"/>
              </w:trPr>
              <w:tc>
                <w:tcPr>
                  <w:tcW w:w="51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A51A" w14:textId="77777777" w:rsidR="001E0E8E" w:rsidRPr="001E0E8E" w:rsidRDefault="00240F72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lastRenderedPageBreak/>
                    <w:t>4. NEPOSREDNI ZADACI</w:t>
                  </w:r>
                </w:p>
              </w:tc>
            </w:tr>
          </w:tbl>
          <w:p w14:paraId="1A8C488D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9417" w:type="dxa"/>
          </w:tcPr>
          <w:p w14:paraId="12C80BF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44" w:type="dxa"/>
          </w:tcPr>
          <w:p w14:paraId="1F80AD52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2685F66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8" w:type="dxa"/>
            <w:gridSpan w:val="2"/>
          </w:tcPr>
          <w:p w14:paraId="7C4AE8E4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1B600AC0" w14:textId="77777777" w:rsidTr="006F0FB8">
        <w:trPr>
          <w:trHeight w:val="40"/>
        </w:trPr>
        <w:tc>
          <w:tcPr>
            <w:tcW w:w="20" w:type="dxa"/>
          </w:tcPr>
          <w:p w14:paraId="771DF210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</w:tcPr>
          <w:p w14:paraId="52DC414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</w:tcPr>
          <w:p w14:paraId="66C034C0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  <w:gridSpan w:val="2"/>
          </w:tcPr>
          <w:p w14:paraId="76B4974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091D0785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39B622C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382FE236" w14:textId="77777777" w:rsidTr="006F0FB8">
        <w:tc>
          <w:tcPr>
            <w:tcW w:w="15208" w:type="dxa"/>
            <w:gridSpan w:val="5"/>
          </w:tcPr>
          <w:tbl>
            <w:tblPr>
              <w:tblW w:w="1502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0"/>
              <w:gridCol w:w="695"/>
              <w:gridCol w:w="4291"/>
              <w:gridCol w:w="1612"/>
              <w:gridCol w:w="1463"/>
              <w:gridCol w:w="1523"/>
              <w:gridCol w:w="1928"/>
            </w:tblGrid>
            <w:tr w:rsidR="008E38FF" w14:paraId="003A6B56" w14:textId="77777777" w:rsidTr="006F0FB8">
              <w:trPr>
                <w:trHeight w:val="517"/>
              </w:trPr>
              <w:tc>
                <w:tcPr>
                  <w:tcW w:w="35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929E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CILJ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864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3D1F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ZADACI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B7B8D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ODGOVORNI IZVRŠITELJ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FA33E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ROK ZA IZVRŠENJE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6654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POTREBNA SREDSTVA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73F76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KORISNICI</w:t>
                  </w:r>
                </w:p>
              </w:tc>
            </w:tr>
            <w:tr w:rsidR="008E38FF" w14:paraId="7BC13423" w14:textId="77777777" w:rsidTr="006F0FB8">
              <w:trPr>
                <w:trHeight w:val="262"/>
              </w:trPr>
              <w:tc>
                <w:tcPr>
                  <w:tcW w:w="351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4711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Valorizacija i promocija Istre kao vrhunske turističke destinacije 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D8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A.1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3B8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RAZVOJ TURISTIČKIH MANIFESTACIJA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podupiranje održavanja manifestacija u manje razvijenim područjima Istre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promicanje i podupiranje manifestacija koje njeguju tradiciju, običaje i k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ulturu Istre, koje se pridržavaju ekoloških načela, koje su inkluzivne i koje su motiv dolaska u Istru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poticanje plasmana lokalnih poljoprivrednih proizvoda u turizmu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stvaranje proizvoda i usluga s većom domaćom (istarskom) dodanom vrijednošću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FC2CA" w14:textId="77777777" w:rsidR="001E0E8E" w:rsidRPr="001E0E8E" w:rsidRDefault="00240F72" w:rsidP="004F3552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Prodan Mraković, </w:t>
                  </w:r>
                  <w:r w:rsidR="004F3552">
                    <w:rPr>
                      <w:rFonts w:eastAsia="Arial" w:cs="Arial"/>
                      <w:sz w:val="20"/>
                      <w:lang w:eastAsia="hr-HR"/>
                    </w:rPr>
                    <w:t>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kilić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0B40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80327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DE46E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Organizatori turističkih manifestacija, JLS, TZ, lokalno stanovništvo, posjetitelji</w:t>
                  </w:r>
                </w:p>
              </w:tc>
            </w:tr>
            <w:tr w:rsidR="008E38FF" w14:paraId="23392FB9" w14:textId="77777777" w:rsidTr="006F0FB8">
              <w:trPr>
                <w:trHeight w:val="262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A1D4C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CCB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A.2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709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TOP MANIFESTACIJE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promocija i realizacija turističkih top manifestacija koje su ujedno i jak motiv dolaska u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Istru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D02F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Prodan Mraković, Akilić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844E1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74E0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9E1D3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Posjetitelji manifestacija</w:t>
                  </w:r>
                </w:p>
              </w:tc>
            </w:tr>
            <w:tr w:rsidR="008E38FF" w14:paraId="67A5719A" w14:textId="77777777" w:rsidTr="006F0FB8">
              <w:trPr>
                <w:trHeight w:val="262"/>
              </w:trPr>
              <w:tc>
                <w:tcPr>
                  <w:tcW w:w="351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89E6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Jačanje ljudskih resursa u turizmu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B93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B.1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977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EDUKACIJA I JAČANJE KOMPETENCIJA U TURIZMU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jačanje kompetencija i vještina turističkih i ugostiteljskih djelatnika 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pružatelja usluga obiteljskog smještaja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provedba tematskih edukacija o održivom turizmu, o inkluzivnom turizmu i dr. za turističke i ugostiteljske djelatnike, iznajmljivače, djelatnike turističkih zajednica, obrtnike, vlasnike agroturizama i OPG-ova, pre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dstavnike jedinica lokalne samouprave i javnih ustanova i druge dionike iz turističkog sektora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DE53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Prodan Mraković, Kukurin, Akilić, Dobrila, Klarić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FC2B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E3F8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17.320,00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8BFDE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JLS, IRTA, Natura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Histrica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TZIŽ, TZ, hotelijeri, agencije, OPG, privatni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iznajmljivači, agroturizmi, ugostitelji ostali dionici</w:t>
                  </w:r>
                </w:p>
              </w:tc>
            </w:tr>
            <w:tr w:rsidR="008E38FF" w14:paraId="197632AF" w14:textId="77777777" w:rsidTr="006F0FB8">
              <w:trPr>
                <w:trHeight w:val="262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40580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D03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B.2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000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RAZVOJ INKLUZIVNOG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osvješćivanje dionika u turizmu i stanovništva o pristupačnosti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uključivosti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turističkih sadržaja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• provedba edukacija među turističkim dionicima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9F685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 xml:space="preserve">Prodan Mraković, Akilić, Dobrila, Klarić 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3399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41CD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3EBB5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Organizacije osoba s invaliditetom, JLS, TZ, Hotelijeri, lokalno stanovništvo, turisti</w:t>
                  </w:r>
                </w:p>
              </w:tc>
            </w:tr>
            <w:tr w:rsidR="008E38FF" w14:paraId="5CBED685" w14:textId="77777777" w:rsidTr="006F0FB8">
              <w:trPr>
                <w:trHeight w:val="262"/>
              </w:trPr>
              <w:tc>
                <w:tcPr>
                  <w:tcW w:w="351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3125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Podupiranje i razvoj selektivnih/ posebnih oblika turizma 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078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C.1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FF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TURISTIČKI RAZVOJ MANJE RAZVIJENIH PODRUČJA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poticanje razvoja turističkih proizvoda u manje razvijenim područjima prema indeksu turističke razvijenosti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poticaje razvoja novih turističkih pr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oizvoda i pružanje cjelovitog iskustva Istre kao destinacije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podupiranje razvoja posebnih oblika turizma kao što su kulturni i vjerski turizam, izletnički turizam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touring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), wellness turizam, kongresni turizam, agroturizam,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gourmet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turizam i sl.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E1A15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Prodan M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raković, Akilić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B5B25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440CE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95.100,00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6F8AD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TZ, građani i drugi subjekti na manje razvijenim područjima Istre</w:t>
                  </w:r>
                </w:p>
              </w:tc>
            </w:tr>
            <w:tr w:rsidR="008E38FF" w14:paraId="17E1E30B" w14:textId="77777777" w:rsidTr="006F0FB8">
              <w:trPr>
                <w:trHeight w:val="262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885B5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3EF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C.2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RAZVOJ KULTURNOG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podupiranje razvoja kulturnog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podupiranje programa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Inspirit</w:t>
                  </w:r>
                  <w:proofErr w:type="spellEnd"/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5392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Prodan Mraković, Akilić, IRTA d.o.o. - odjel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Inspirit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EE124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FF6A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29.300,00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70118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IRTA, JLS, TZ, lokalno stanovništvo, turisti, ostali</w:t>
                  </w:r>
                </w:p>
              </w:tc>
            </w:tr>
            <w:tr w:rsidR="008E38FF" w14:paraId="03EFDD3D" w14:textId="77777777" w:rsidTr="006F0FB8">
              <w:trPr>
                <w:trHeight w:val="262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FD112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29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C.3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00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AKTIVNI TURIZAM - ISTRA OUTDOOR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promicanje razvoja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sportskog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razvoj pro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jekata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Eurovelo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8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Eurovelo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9 te biciklističko-pješačkih transverzala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857A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Prodan Mraković, Akilić, Dobrila, </w:t>
                  </w:r>
                  <w:r w:rsidR="004F3552" w:rsidRPr="001E0E8E">
                    <w:rPr>
                      <w:rFonts w:eastAsia="Arial" w:cs="Arial"/>
                      <w:sz w:val="20"/>
                      <w:lang w:eastAsia="hr-HR"/>
                    </w:rPr>
                    <w:t>Klarić</w:t>
                  </w:r>
                  <w:r w:rsidR="004F3552">
                    <w:rPr>
                      <w:rFonts w:eastAsia="Arial" w:cs="Arial"/>
                      <w:sz w:val="20"/>
                      <w:lang w:eastAsia="hr-HR"/>
                    </w:rPr>
                    <w:t>,</w:t>
                  </w:r>
                  <w:r w:rsidR="004F3552"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IRTA d.o.o. – odjel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7CB4E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F522A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64.600,00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0058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IRTA,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cikloturisti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rekreativci, sportaši, ostali</w:t>
                  </w:r>
                </w:p>
              </w:tc>
            </w:tr>
            <w:tr w:rsidR="008E38FF" w14:paraId="586718D7" w14:textId="77777777" w:rsidTr="006F0FB8">
              <w:trPr>
                <w:trHeight w:val="262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7298E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EF7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C.4.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BCD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TO DO IN ISTRIA</w:t>
                  </w:r>
                </w:p>
                <w:p w14:paraId="2EA27EE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• razvoj web platforme ''To do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Istria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''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BA5A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Prodan Mraković, Akilić, </w:t>
                  </w:r>
                </w:p>
                <w:p w14:paraId="2D3FF9C6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IRTA d.o.o.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DFA8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189A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9A4E2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IRTA, putničke agencije, ponuditelji turističkih sadržaja</w:t>
                  </w:r>
                </w:p>
              </w:tc>
            </w:tr>
            <w:tr w:rsidR="008E38FF" w14:paraId="4EB3E8BB" w14:textId="77777777" w:rsidTr="006F0FB8">
              <w:trPr>
                <w:trHeight w:val="262"/>
              </w:trPr>
              <w:tc>
                <w:tcPr>
                  <w:tcW w:w="351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0C66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Razvoj zelenog turizma  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17A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D.1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CD5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PRIVATNI SMJEŠTAJ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poticanje kvalitete pružanja usluga u privatnom i ostalim oblicima smještaja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daljnji razvoj eko prijateljskog smještaja (Eco Domus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Bike&amp;Bed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)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A803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Prodan Mraković, </w:t>
                  </w:r>
                  <w:r w:rsidR="006A3CFF">
                    <w:rPr>
                      <w:rFonts w:eastAsia="Arial" w:cs="Arial"/>
                      <w:sz w:val="20"/>
                      <w:lang w:eastAsia="hr-HR"/>
                    </w:rPr>
                    <w:t xml:space="preserve">Kukurin,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Akilić</w:t>
                  </w:r>
                </w:p>
                <w:p w14:paraId="73A62F2C" w14:textId="77777777" w:rsidR="001E0E8E" w:rsidRPr="001E0E8E" w:rsidRDefault="001E0E8E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C9FB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8616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EC85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Privatni iznajmljivači -pružatelji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ugostiteljskih usluga smještaja, hotelijeri, ostali dionici, JLS, MINTS,</w:t>
                  </w:r>
                </w:p>
                <w:p w14:paraId="6159D7AD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lastRenderedPageBreak/>
                    <w:t>međunarodne organizacije, UNWTO</w:t>
                  </w:r>
                </w:p>
              </w:tc>
            </w:tr>
            <w:tr w:rsidR="008E38FF" w14:paraId="6BE774FA" w14:textId="77777777" w:rsidTr="006F0FB8">
              <w:trPr>
                <w:trHeight w:val="262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42273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91C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D.2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71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TURISTIČKA VALORIZACIJA PRIRODNE BAŠTINE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turistička valorizacija zaštićenih područja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Limski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zaljev,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Palud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Kontija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značajni krajobraz Labin,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Rabac i uvala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Prklog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te ostala zaštićena područja)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C7412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Prodan Mraković, Akilić, Dobrila, Klarić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DB625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1A0F4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87FB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Natura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Histrica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JLS, građani i ostali dionici</w:t>
                  </w:r>
                </w:p>
              </w:tc>
            </w:tr>
            <w:tr w:rsidR="008E38FF" w14:paraId="275C7454" w14:textId="77777777" w:rsidTr="006F0FB8">
              <w:trPr>
                <w:trHeight w:val="3910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F8632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AE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D.3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4D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ISTRA ECOXPERIENCE - SVE EKO IZ ISTRE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promicanje zelenog/održivog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edukacija o značaju zelenog turizma za održivi razvoj gospodarstva i zajednice u cjelini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osmišljavanje prihvatljive turističke ponude u zaštićenim područjima prirode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brendiranje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na temelju prirodnog potencijala konkretnog područja)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prikupljanje, anali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za, obrada i objava raznih podataka (npr. dolasci, noćenja, potrošnja vode, zbrinjavanje i razvrstavanje otpada i dr.) - ETIS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izdavanje brošure i uređivanje web stranica s eko-prijateljskim sadržajima www.istraecoxperience.com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benchmarking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najboljih tu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rističkih destinacija na području održivosti</w:t>
                  </w:r>
                </w:p>
                <w:p w14:paraId="3E21443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provedba edukacija među turističkim dionicima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3B838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Prodan Mraković, Akilić, Dobrila, Klarić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F10F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9A3CC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DB66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TZ, lokalno stanovništvo, turisti, ostali dionici, međunarodne organizacije, UNWTO</w:t>
                  </w:r>
                </w:p>
              </w:tc>
            </w:tr>
            <w:tr w:rsidR="008E38FF" w14:paraId="39FEF641" w14:textId="77777777" w:rsidTr="006F0FB8">
              <w:trPr>
                <w:trHeight w:val="262"/>
              </w:trPr>
              <w:tc>
                <w:tcPr>
                  <w:tcW w:w="351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7703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Razvoj turističke infrastrukture i poticanje razvoja investicija veće dodane vrijednosti 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B71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E.1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D80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TURISTIČKA VALORIZACIJA TRASE PARENZANE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kontinuirano valoriziranje i podizanje kvalitete biciklističke i pješačke staze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integriranje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sadržaja i ponude uz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Parenzanu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s mjestima uz koje prolazi u jedinstveni brend</w:t>
                  </w:r>
                </w:p>
                <w:p w14:paraId="3BEC37A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provedba projekta Prijatelji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F8A48" w14:textId="77777777" w:rsidR="006A3CFF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Prodan Mraković, </w:t>
                  </w:r>
                  <w:r>
                    <w:rPr>
                      <w:rFonts w:eastAsia="Arial" w:cs="Arial"/>
                      <w:sz w:val="20"/>
                      <w:lang w:eastAsia="hr-HR"/>
                    </w:rPr>
                    <w:t>Kukurin,</w:t>
                  </w:r>
                </w:p>
                <w:p w14:paraId="0508E817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Akilić</w:t>
                  </w:r>
                  <w:r w:rsidR="00335028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C7E9E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23914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74.550,00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4B19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JLS,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cikloturisti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rekreativci, sportaši, ostali korisnici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</w:p>
              </w:tc>
            </w:tr>
            <w:tr w:rsidR="008E38FF" w14:paraId="46BBCE4C" w14:textId="77777777" w:rsidTr="006F0FB8">
              <w:trPr>
                <w:trHeight w:val="3271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9FF1F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042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E.2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4D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ODRŽIVI RAZVOJ PLAŽA</w:t>
                  </w:r>
                </w:p>
                <w:p w14:paraId="2022110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praćenje i provedba Regionalnog programa uređenja i opremanja morskih plaža u Istarskoj županiji</w:t>
                  </w:r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3E50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Prodan Mraković, Akilić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51854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3148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63F0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hotelijeri i ostali koncesionari na plažama, ostali dionici</w:t>
                  </w:r>
                </w:p>
              </w:tc>
            </w:tr>
            <w:tr w:rsidR="008E38FF" w14:paraId="38D99ACC" w14:textId="77777777" w:rsidTr="006F0FB8">
              <w:trPr>
                <w:trHeight w:val="2300"/>
              </w:trPr>
              <w:tc>
                <w:tcPr>
                  <w:tcW w:w="351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617A5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D3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30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SUDJELOVANJE U MEĐUNARODNIM PROJEKTIMA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priprema projektne dokumentacije za osiguravanje financijskih sredstava iz EU i nacionalnih izvora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informiranje dionika o novim natječajima 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mogućnostima financiranja turističkih projekata iz raznih EU i nacionalnih fondova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članstvo u međunarodnim organizacijama 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organizacijama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(GSTC i dr.)</w:t>
                  </w:r>
                </w:p>
                <w:p w14:paraId="1F58004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provedba EU projekata CYROS,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AdriACTIVE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IstraECOinclusive</w:t>
                  </w:r>
                  <w:proofErr w:type="spellEnd"/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F711F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Prodan Mraković, </w:t>
                  </w:r>
                  <w:r w:rsidR="00CE44BB"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Kukurin,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Dobrila,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Klarić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37720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DB754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500.000,00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EEDE8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TZ, privatni sektor, udruge, ostali potencijalni korisnici sredstava iz EU fondova</w:t>
                  </w:r>
                </w:p>
              </w:tc>
            </w:tr>
            <w:tr w:rsidR="008E38FF" w14:paraId="1E426663" w14:textId="77777777" w:rsidTr="006F0FB8">
              <w:trPr>
                <w:trHeight w:val="262"/>
              </w:trPr>
              <w:tc>
                <w:tcPr>
                  <w:tcW w:w="35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462D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trike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Uspostava sustava efikasne javne uprave i administracije, digitalizacija  upravnih procesa: povjereni poslovi državne uprave u Istarskoj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županiji</w:t>
                  </w:r>
                </w:p>
              </w:tc>
              <w:tc>
                <w:tcPr>
                  <w:tcW w:w="6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DC8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F.1</w:t>
                  </w:r>
                </w:p>
              </w:tc>
              <w:tc>
                <w:tcPr>
                  <w:tcW w:w="42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9A9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KATEGORIZACIJA</w:t>
                  </w:r>
                </w:p>
                <w:p w14:paraId="34A2468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digitalna transformacija sustava javne uprave i uspostava sustava e-Turizam kroz nadogradnju sustava, </w:t>
                  </w:r>
                </w:p>
                <w:p w14:paraId="5078761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konsolidacija i verifikacija baze podataka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TuStart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Registra   </w:t>
                  </w:r>
                </w:p>
                <w:p w14:paraId="38565FE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izrada regionalnog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Geoportala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ugostiteljstva Istarske županije</w:t>
                  </w:r>
                </w:p>
                <w:p w14:paraId="64A96F0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podizanje razine kvalitete pružanja usluga građanima i povećanja ekonomičnosti u smjeru jače digitalizacije upravn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ih procesa</w:t>
                  </w:r>
                </w:p>
                <w:p w14:paraId="5314C75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 xml:space="preserve">• razvoj ljudskih potencijala u javnoj upravi kroz edukacije </w:t>
                  </w:r>
                </w:p>
                <w:p w14:paraId="5F303B1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uspostava sustava e-turizam,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TuStart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Registra, </w:t>
                  </w:r>
                </w:p>
                <w:p w14:paraId="5858673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ujednačena opterećenost ispostava preraspodjelom predmeta sukladno broju predmeta i opterećenju, a sve to prema načelima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ekonomičnosti, produktivnosti, efikasnosti</w:t>
                  </w:r>
                </w:p>
                <w:p w14:paraId="527D15E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uspostava transparentnog digitalnog pregleda turizma i ugostiteljstva u Istarskoj županiji</w:t>
                  </w:r>
                </w:p>
                <w:p w14:paraId="23BE261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propisanih minimalnih uvjeta u ugostiteljskim objektima te razvrstavanje i kategorizacija ugostiteljskih o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bjekata</w:t>
                  </w:r>
                </w:p>
                <w:p w14:paraId="50C8452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razvrstavanje i kategorizacija objekata u kojima se pružaju ugostiteljske usluge u domaćinstvu</w:t>
                  </w:r>
                </w:p>
                <w:p w14:paraId="2E10D7B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minimalnih uvjeta za vrstu i kategoriju objekata u kojima se pružaju ugostiteljske usluge na obiteljskom poljoprivrednom gospodarstvu</w:t>
                  </w:r>
                </w:p>
                <w:p w14:paraId="57310B7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zdavanje rješenja o odobrenju za pružanje usluga turističkog vodiča</w:t>
                  </w:r>
                </w:p>
                <w:p w14:paraId="0F9252C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minimalnih uvjeta za vrstu plovnih objekata</w:t>
                  </w:r>
                </w:p>
                <w:p w14:paraId="7B7DDDF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minimalnih uvjeta luka nautičkog turizma koje se ne kategoriziraju</w:t>
                  </w:r>
                </w:p>
                <w:p w14:paraId="26B8AEB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izdavanje iskaznica za turističke vodiče</w:t>
                  </w:r>
                </w:p>
                <w:p w14:paraId="16124FB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uskl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ađivanje s propisima iz područja ugostiteljstva, turizma, prostornog planiranja, gradnje, očuvanja okoliša i dr.</w:t>
                  </w:r>
                </w:p>
                <w:p w14:paraId="5788AE5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ujednačavanje praksi među službenicima koji rade na upravnim poslovima</w:t>
                  </w:r>
                </w:p>
                <w:p w14:paraId="319431E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Suradnja sa Ministarstvom turizma i sporta Republike Hrvatske u sklopu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NPOO projekta nadogradnje sustava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eTurizam</w:t>
                  </w:r>
                  <w:proofErr w:type="spellEnd"/>
                </w:p>
              </w:tc>
              <w:tc>
                <w:tcPr>
                  <w:tcW w:w="16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BCBB5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Prodan Mraković, Kukurin, Službenici koji vode upravne postupke iz područja turizma i ugostiteljstva</w:t>
                  </w:r>
                </w:p>
              </w:tc>
              <w:tc>
                <w:tcPr>
                  <w:tcW w:w="14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28F3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31.12.2026.</w:t>
                  </w:r>
                </w:p>
              </w:tc>
              <w:tc>
                <w:tcPr>
                  <w:tcW w:w="15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DB847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9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360B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Građani, privatni iznajmljivači, OPG, ugostitelji, turistički vodiči, vlasnici plovnih ob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jekata, lučke uprave, ostali dionici, Ministarstvo turizma i sporta Republike Hrvatske, Turistička zajednica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Istarske županije, JLS</w:t>
                  </w:r>
                </w:p>
              </w:tc>
            </w:tr>
          </w:tbl>
          <w:p w14:paraId="745E9AE2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20" w:type="dxa"/>
          </w:tcPr>
          <w:p w14:paraId="6C68D5C5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0CDDE892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69971634" w14:textId="77777777" w:rsidTr="006F0FB8">
        <w:trPr>
          <w:trHeight w:val="280"/>
        </w:trPr>
        <w:tc>
          <w:tcPr>
            <w:tcW w:w="20" w:type="dxa"/>
          </w:tcPr>
          <w:p w14:paraId="2005FBCC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</w:tcPr>
          <w:p w14:paraId="20999435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</w:tcPr>
          <w:p w14:paraId="3ED77997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  <w:gridSpan w:val="2"/>
          </w:tcPr>
          <w:p w14:paraId="6B606281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6BAFE818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5667DD0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09635849" w14:textId="77777777" w:rsidTr="006F0FB8">
        <w:trPr>
          <w:trHeight w:val="340"/>
        </w:trPr>
        <w:tc>
          <w:tcPr>
            <w:tcW w:w="1494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89"/>
            </w:tblGrid>
            <w:tr w:rsidR="008E38FF" w14:paraId="63371F8E" w14:textId="77777777" w:rsidTr="006F0FB8">
              <w:trPr>
                <w:trHeight w:val="262"/>
              </w:trPr>
              <w:tc>
                <w:tcPr>
                  <w:tcW w:w="13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FBA" w14:textId="77777777" w:rsidR="001E0E8E" w:rsidRPr="001E0E8E" w:rsidRDefault="00240F72" w:rsidP="001E0E8E">
                  <w:pPr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5. OPERATIVNE AKTIVNOSTI I PLANOVI</w:t>
                  </w:r>
                </w:p>
              </w:tc>
            </w:tr>
          </w:tbl>
          <w:p w14:paraId="54C27462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264" w:type="dxa"/>
            <w:gridSpan w:val="2"/>
          </w:tcPr>
          <w:p w14:paraId="42F7BFB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3582FA2B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7CC414E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0CE486B0" w14:textId="77777777" w:rsidTr="006F0FB8">
        <w:trPr>
          <w:trHeight w:val="100"/>
        </w:trPr>
        <w:tc>
          <w:tcPr>
            <w:tcW w:w="20" w:type="dxa"/>
          </w:tcPr>
          <w:p w14:paraId="433EA4F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</w:tcPr>
          <w:p w14:paraId="554C47C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</w:tcPr>
          <w:p w14:paraId="6A6AEDF7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  <w:gridSpan w:val="2"/>
          </w:tcPr>
          <w:p w14:paraId="233817E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39FA372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4F2300D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  <w:tr w:rsidR="008E38FF" w14:paraId="5F0F9F5D" w14:textId="77777777" w:rsidTr="006F0FB8">
        <w:trPr>
          <w:gridAfter w:val="1"/>
          <w:wAfter w:w="22" w:type="dxa"/>
        </w:trPr>
        <w:tc>
          <w:tcPr>
            <w:tcW w:w="1530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3"/>
              <w:gridCol w:w="3571"/>
              <w:gridCol w:w="737"/>
              <w:gridCol w:w="7860"/>
              <w:gridCol w:w="2086"/>
            </w:tblGrid>
            <w:tr w:rsidR="008E38FF" w14:paraId="77B3B964" w14:textId="77777777" w:rsidTr="006F0FB8">
              <w:trPr>
                <w:trHeight w:val="262"/>
              </w:trPr>
              <w:tc>
                <w:tcPr>
                  <w:tcW w:w="7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FB919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CILJ</w:t>
                  </w: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CBF8A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ZADATAK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C13C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E0C2A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OPIS AKTIVNOSTI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57A5B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b/>
                      <w:sz w:val="20"/>
                      <w:lang w:eastAsia="hr-HR"/>
                    </w:rPr>
                    <w:t>SURADNICI</w:t>
                  </w:r>
                </w:p>
              </w:tc>
            </w:tr>
            <w:tr w:rsidR="008E38FF" w14:paraId="445887BF" w14:textId="77777777" w:rsidTr="006F0FB8">
              <w:trPr>
                <w:trHeight w:val="262"/>
              </w:trPr>
              <w:tc>
                <w:tcPr>
                  <w:tcW w:w="72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2458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16E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A.1 RAZVOJ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TURISTIČKIH MANIFESTACIJA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podupiranje održavanja manifestacija u manje razvijenim područjima Istre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promicanje i podupiranje manifestacija koje njeguju tradiciju, običaje i kulturu Istre, koje se pridržavaju ekoloških načela, koje su inkluzivne i koje 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 motiv dolaska u Istru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poticanje plasmana lokalnih poljoprivrednih proizvoda u turizmu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stvaranje proizvoda i usluga s većom domaćom (istarskom) dodanom vrijednošću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BC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A.1.a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B97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Ova aktivnost obuhvaća dodjelu potpora za razvoj turističkih manifestacija u man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je razvijenim područjima Istre, prioritetno onih regionalnog značaja koje doprinose postizanju strateških ciljeva Istarske županije u skladu s odrednicama Master plana turizma Istre 2015-2025: produženje turističke sezone s ciljem razvoja cjelogodišnjeg tu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rizma: poglavito predsezona i posezona, ujednačeni i uravnoteženi razvoj turizma, posebno u unutrašnjosti, unaprjeđenje opće kvalitete turističkih manifestacija, valorizacija tradicije i običaja, primjena ekoloških standarda i univerzalne pristupačnosti pr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ilikom provedbe manifestacija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B5F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TZIŽ, TZ, ostali dionici</w:t>
                  </w:r>
                </w:p>
              </w:tc>
            </w:tr>
            <w:tr w:rsidR="008E38FF" w14:paraId="7752052C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8640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1340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B7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A.1.b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63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Odjel će po jedanaesti put organizirati obilježavanje Svjetskog dana turizma u Istri, te će raspisati javni poziv za iskazivanje interesa za uključivanje zainteresiranih pružatelja usluga. Svi odabrani prijavitelji će tijekom prvog vikenda nakon Svjetskog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dana turizma biti otvoreni te će gostima nuditi svoje usluge besplatno ili s popustom do 50%.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Cilj ove aktivnosti je promocija lokalnih proizvoda i usluga, kako bi se potaknulo posjećivanje i korištenje takvih sadržaja tijekom cijele godine, te umrežavanj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 dionika i jačanje lokalne ekonomije. Također, na ovaj način se vrši promocija i plasman lokalnih, prvenstveno poljoprivrednih proizvoda i suvenira s dodanom (istarskom) vrijednošću.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4F0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Ponuđači turističkih usluga, TZIŽ, IRTA, ostali dionici</w:t>
                  </w:r>
                </w:p>
              </w:tc>
            </w:tr>
            <w:tr w:rsidR="008E38FF" w14:paraId="5068E99B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5628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90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A.2 TOP MANIFESTACIJE </w:t>
                  </w:r>
                </w:p>
                <w:p w14:paraId="290A633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promocija i realizacija turističkih top manifestacija koji su ujedno i jak motiv dolaska u Istru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FE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A.2.a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1F5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Odjel će dodjeljivati potpore za top manifestacije u Istri. Potpore će se prioritetno dodjeljivati manifestacijama od strateškog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značaja, kojima se stvaraju novi motivi dolaska u Istarsku županiju, u skladu s odrednicama Master plana turizma Istre do 2025. godine. Ovakve manifestacije koje privlače velik broj posjetitelja, izuzetno su važne za jačanje brenda Istre kao turističke de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stinacije, te predstavljaju jaki motiv dolaska gostiju u destinaciju.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0B9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Organizatori top manifestacija, TZIŽ, TZ, IRTA, ostali dionici</w:t>
                  </w:r>
                </w:p>
              </w:tc>
            </w:tr>
            <w:tr w:rsidR="008E38FF" w14:paraId="3D9B219C" w14:textId="77777777" w:rsidTr="006F0FB8">
              <w:trPr>
                <w:trHeight w:val="262"/>
              </w:trPr>
              <w:tc>
                <w:tcPr>
                  <w:tcW w:w="72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CC07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7E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B.1 EDUKACIJA I JAČANJE KOMPETENCIJA U TURIZMU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jačanje kompetencija i vještina turističkih i ugostiteljskih djelatnika i pružatelja usluga obiteljskog smještaja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provedba tematskih edukacija o održivom turizmu, o inkluzivnom turizmu i dr. za turističke i ugostiteljske djelatnike, iznajmljivače, djel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atnike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turističkih zajednica, obrtnike, vlasnike agroturizama i OPG-ova, predstavnike jedinica lokalne samouprave i javnih ustanova i druge dionike iz turističkog sektora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362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B.1.a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7C7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Edukacija i jačanje kompetencija i vještina turističkih i ugostiteljskih djelat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nika (podizanje razine kvalitete u ugostiteljskim objektima, agroturizmima i dr.). Cilj edukacija je podizanje svijesti o važnosti njegovanja kulture gostoljubivosti i autentičnosti, te profesionalizacije i ulaganja u kvalitetu kod svih pružatelja ugostite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ljskih usluga, kroz primjenu stečenog znanja i vještina u poslovanje objekta.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1B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AZRRI</w:t>
                  </w:r>
                </w:p>
              </w:tc>
            </w:tr>
            <w:tr w:rsidR="008E38FF" w14:paraId="3C3613DF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23E2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5025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A6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B.1.b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940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S ciljem osvješćivanja javnosti te pogotovo dionika uključenih u ugostiteljsko-turističku djelatnost, provesti će se edukacija o značaju zelenog turizma za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održivi razvoj gospodarstva i zajednice u cjelini. Cilj edukacije je jačanje kompetencija i podizanje svijesti o značaju održivog razvoja i primjene eko-prijateljskih praksi u redovitom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poslovanju. Edukacije vezano za izradu Plana upravljanja destinacijom,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te koordinacija aktivnosti sa ključnim dionicima uz praćenje provedbe i izvještavanja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AF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 xml:space="preserve">Natura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Histrica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vanjski suradnici</w:t>
                  </w:r>
                </w:p>
              </w:tc>
            </w:tr>
            <w:tr w:rsidR="008E38FF" w14:paraId="503FB2A9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B72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83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B.2 RAZVOJ INKLUZIVNOG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osvješćivanje dionika u turizmu i stanovništva o pristupačnosti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uključivosti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turističkih sadržaja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provedba edukacija među turističkim dionicima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6F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B.2.a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D5E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Kroz ovu aktivnost planiramo podizati svijest dionika u turizmu i stanovništva o dostupnosti i pris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tupačnosti turističkih sadržaja, te kao najrazvijenija turistička županija dati akcent i na taj segment turizma koji nije zanemariv. U tom smislu, poticati ćemo edukaciju turističkih dionika te veću pristupačnost turističkih sadržaja s ciljem razvoja inklu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zivnog turizma u Istarskoj županiji. Kroz program poticanja razvoja turističkih proizvoda u manje razvijenim područjima posebno se potiče prilagodba javne turističke infrastrukture za osobe s invaliditetom, dok se kroz program poticanja udruga OSI sufinanc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ira edukacija o važnosti pristupačnosti među turističkim dionicima, te promocija postojećih sadržaja koji su pristupačni.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601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TZ, Hotelijeri, Udruge invalida i drugi dionici</w:t>
                  </w:r>
                </w:p>
              </w:tc>
            </w:tr>
            <w:tr w:rsidR="008E38FF" w14:paraId="7B0D5261" w14:textId="77777777" w:rsidTr="006F0FB8">
              <w:trPr>
                <w:trHeight w:val="262"/>
              </w:trPr>
              <w:tc>
                <w:tcPr>
                  <w:tcW w:w="72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DD9A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3F7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C.1 TURISTIČKI RAZVOJ MANJE RAZVIJENIH PODRUČJA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poticanje razvoja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turističkih proizvoda u manje razvijenim područjima prema indeksu turističke razvijenosti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poticaje razvoja novih turističkih proizvoda i pružanje cjelovitog iskustva Istre kao destinacije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podupiranje razvoja posebnih oblika turizma kao što su kulturni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 vjerski turizam, izletnički turizam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touring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), wellness turizam, kongresni turizam, agroturizam,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gourmet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turizam i sl.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FB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C.1.a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F12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Ova aktivnost obuhvaća dodjelu potpora s ciljem podizanja kvalitete i održivog razvoja javne turističke infrastrukture, turistič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kih projekata i selektivnih oblika turizma na manje razvijenim područjima Istre. Početkom godine će se raspisati javni poziv za prikupljanje prijava. Ovim projektom želi se poduprijeti razvoj turističkih projekata i aktivnosti koji su orijentirani na funkc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ioniranje tijekom cijele godine. Na taj način želimo usmjeriti turističke tokove u manje razvijena područja Istre, u skladu s brendom kojeg razvijaju. Sredstva će se dodjeljivati prema kriterijima i mjerilima održivog i odgovornog razvoja turizma, s akcent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om na ekološke aspekte i univerzalnu pristupačnost. Također će se poticati razvoj planinarskih staza u suradnji s Istarskim planinarskim savezom.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6CC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TZIŽ, ustroj lokalnih TZ-a, ostali dionici</w:t>
                  </w:r>
                </w:p>
              </w:tc>
            </w:tr>
            <w:tr w:rsidR="008E38FF" w14:paraId="1F4BAE97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AA4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288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93C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C.1.b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71B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Kroz program poticanja razvoja turističkih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proizvoda u manje razvijenim područjima posebno se potiče podizanje kvalitete turističkih proizvoda, što je ugrađeno u kriterije za dodjelu potpora. Podizanje kvalitete proizvoda se potiče i kroz druge programe odjela (kao npr. Eco Domus,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Bike&amp;Bed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u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ređenje plaža, održavanje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dr.)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6DD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JLS, TZ, ostali dionici</w:t>
                  </w:r>
                </w:p>
              </w:tc>
            </w:tr>
            <w:tr w:rsidR="008E38FF" w14:paraId="63EE51AA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8B28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4F20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76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C.1.c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C97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Kroz program poticanja razvoja turističkih proizvoda u manje razvijenim područjima posebno se potiče razvoj posebnih, selektivnih oblika turizma kao što su kulturni i vjerski turizam, izletnički turizam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touring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), wellness turizam, kongresni turizam, agrot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urizam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gourmet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turizam. Navedeni selektivni oblici turizma ugrađeni su u kriterije za dodjelu potpora, te se potiču i kroz druge programe odjela (kao npr. edukacija ugostitelja, projekt aktivnog/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turizma, uređenje kuće fresaka 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Draguću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dr.)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22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JL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S, TZ, ostali dionici</w:t>
                  </w:r>
                </w:p>
              </w:tc>
            </w:tr>
            <w:tr w:rsidR="008E38FF" w14:paraId="24B60F21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DC3F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F8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C.2 RAZVOJ KULTURNOG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podupiranje razvoja kulturnog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 xml:space="preserve">• podupiranje programa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Inspirit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BA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C.2.a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16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Projekt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Inspirit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- Razvoj cjelogodišnjeg turizma: se provodi u suradnji s IRTA-om - odjel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Inspirit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. Sastoji se od organizacije niza doživljaja/manifestacija s ciljem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prezentiranja kulturno-povijesne baštine našeg kraja oživljavanjem legendi u p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ojedinim mjestima. Osnovni cilj projekta je obogaćivanje turističke ponude kroz segment kulturno-povijesne baštine i stvaranje jedinstvenih doživljaja i priča, te posredno produženje turističke sezone i obogaćivanje kulturno turističke ponude.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89C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IRTA - odjel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Inspirit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hotelijeri,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agencije, TZIŽ, TZ, JLS, MINTS, ostali dionici</w:t>
                  </w:r>
                </w:p>
              </w:tc>
            </w:tr>
            <w:tr w:rsidR="008E38FF" w14:paraId="3B79433E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2041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5173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A21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C.2.b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2D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Temeljem Sporazuma o suradnji, a Putem Partnerskog vijeća, UO za turizam će raditi na turističkoj i kulturnoj valorizaciji Kuće fresaka 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Draguću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Kuće istarskih kaštela 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Momjanu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. UO za turizam će sufinancirati programe turističkog sadržaja u cilju pripr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eme promotivnih materijala i drugih turističkih aktivnosti u sklopu navedenih tematskih kuća.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AE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UO za kulturu i zavičajnost IŽ, Povijesni i pomorski muzej Istre, Turistička zajednica središnje Istre, Općina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Cerovlje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Grad Buje i Turistička zajednica Grada B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uje</w:t>
                  </w:r>
                </w:p>
              </w:tc>
            </w:tr>
            <w:tr w:rsidR="008E38FF" w14:paraId="6459763C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70F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738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C.3 AKTIVNI TURIZAM - ISTRA OUTDOOR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promicanje razvoja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sportskog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razvoj projekata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Eurovelo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8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Eurovelo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9 te biciklističko-pješačkih transverzala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98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C.3.a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659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Odjel koordinira aktivnosti za razvoj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na nivou Istre u suradnji s odjelom Istra bike, koji je osnovan u sklopu IRTE. U sklopu tog odjela provode se brojne aktivnosti s ciljem razvoja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ponude u Istri, među kojima izdvajamo: koordinacija lokalnih TZ-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a, organizacija i provedba edukacija na temu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provedba projekta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Bike&amp;Bed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suorganizacija biciklističkih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manifestacija, provedba razvojnih projekata, te ostale aktivnosti kao što su izrada foto-video galerije, održava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nje specijaliziranih web portala, održavanje kalendara manifestacija, nastup na specijaliziranim sajmovima, te razvoj novih projekata vezanih za aktivni turizam -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trekking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trail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slobodno penjanje,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kayaking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dr.).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turizam se potiče i kro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z javni poziv za manje razvijena područja. Na temelju izrađenog izvještaja o evaluaciji i optimizaciji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Eurovelo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ruta, provoditi će se predviđene aktivnosti (postavljanje signalizacije, info točaka, postavljanje brojača korisnika i sl.). 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335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IRTA – odjel Istr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bike, hotelijeri, agencije, TZIŽ, TZ, JLS, MINTS, ostali dionici</w:t>
                  </w:r>
                </w:p>
              </w:tc>
            </w:tr>
            <w:tr w:rsidR="008E38FF" w14:paraId="3428ABD2" w14:textId="77777777" w:rsidTr="006F0FB8">
              <w:trPr>
                <w:trHeight w:val="262"/>
              </w:trPr>
              <w:tc>
                <w:tcPr>
                  <w:tcW w:w="723" w:type="dxa"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AE0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9F9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C.4. TO DO IN ISTRIA</w:t>
                  </w:r>
                </w:p>
                <w:p w14:paraId="7E6E148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razvoj web platforme ''To do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Istria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''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48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C.4.a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4C3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UO za turizam će u suradnji s IRTA-om raditi na razvoju web platforme ''To do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in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Istria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'' na kojoj su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objavljeni razni turistički sadržaji, ture, atrakcije i doživljaji u Istri vezani za turističke proizvode koje Istra razvija poput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outdoora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cikloturizma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kulturnog turizma,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touringa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sportskog turizma itd., koji se tim putem promoviraju i popunjavaju/prod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aju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954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IRTA, putničke agencije, ponuditelji turističkih sadržaja</w:t>
                  </w:r>
                </w:p>
              </w:tc>
            </w:tr>
            <w:tr w:rsidR="008E38FF" w14:paraId="651C4166" w14:textId="77777777" w:rsidTr="006F0FB8">
              <w:trPr>
                <w:trHeight w:val="262"/>
              </w:trPr>
              <w:tc>
                <w:tcPr>
                  <w:tcW w:w="72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67C4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80D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D.1 PRIVATNI SMJEŠTAJ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poticanje kvalitete pružanja usluga u privatnom i ostalim oblicima smještaja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daljnji razvoj eko prijateljskog smještaja (Eco Domus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Bike&amp;Bed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)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87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D.1.a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0FE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UO za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turizam će u suradnji i koordinaciji s nadležnim tijelima i partnerima provoditi odgovarajuće aktivnosti s ciljem sustavnog upravljanja privatnim smještajem u Istri. Ovim projektom se želi diversificirati privatni smještaj u Istri s ciljem njegovog daljnje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g unaprjeđenja, uz značajnu nadogradnju projekta dodatnim aktivnostima kao što su edukacija iznajmljivača,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brendiranje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izrada kataloga smještaja i dr.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a u cilju podizanja kvalitete privatnog smještaja i njegovog povezivanja s turističkim proizvodima koji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se razvijaju u Istri.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C88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IRTA - odjel Istra bike, TZIŽ, HGK, TZ, Privatni iznajmljivači – pružatelji ugostiteljskih usluga smještaja u domaćinstvu, vanjski suradnici, ostali dionici</w:t>
                  </w:r>
                </w:p>
              </w:tc>
            </w:tr>
            <w:tr w:rsidR="008E38FF" w14:paraId="48EE1BC5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D0E8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881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DD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D.1.b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011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S ciljem pridobivanja novih objekata, objaviti će se javni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poziv za uvrštenje u program Eco Domus, te će se u suradnji s vanjskim suradnicima provoditi certificiranje prijavljenih kandidata koje obuhvaća obilazak, savjetovanje, uvrštenje u program, promociju i edukaciju privatnih iznajmljivača. Edukacijom će se uk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azati na obveze uvrštenih u program Eco Domus (kriteriji za uvrštenje) te na prednosti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brendiranja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smještaja, moguće kanale promocije i prodaje i dr. Projekt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Bike&amp;Bed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provodi se u suradnji s IRTA-om, odnosno njezinom odjelom Istra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bike&amp;outdoor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. U oba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dva projekta se provode redovite analize, kontrole i revizije uključenih objekata, kako bi se utvrdilo efektivno poštivanje kriterija i općenito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sagledavanje stanja na terenu.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146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IRTA - odjel Istra bike, TZIŽ, HGK, TZ, Privatni iznajmljivači – pružatelji ugos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titeljskih usluga smještaja u domaćinstvu, vanjski suradnici, ostali dionici</w:t>
                  </w:r>
                </w:p>
              </w:tc>
            </w:tr>
            <w:tr w:rsidR="008E38FF" w14:paraId="2ED3D3B7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8AB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BB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D.2 TURISTIČKA VALORIZACIJA PRIRODNE BAŠTINE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turistička valorizacija zaštićenih područja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Limski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zaljev,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Palud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Kontija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značajni krajobraz Labin, Rabac i uvala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Prklog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ostala zaštićena područja)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6FA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D.2.a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2F5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 suradnji s Naturom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Histricom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na temeljima održanih koordinacija sa svim uključenim dionicima, provoditi će se ulaganja u uređenje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Limskog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zaljeva i ornitološkog rezervata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Palud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ostalih zaštićenih područja u cilju turis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tičke valorizacije. Odjel se nalazi i u Upravljačkom tijelu za ornitološki rezervat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Palud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. U svrhu održivog i odgovornog upravljanja zaštićenim dijelovima prirode i stavljanja tih dijelova u funkciju održivog turizma, UO za turizam će sufinancirati izradu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stručnih podloga u svrhu održivog i odgovornog upravljanja zaštićenim dijelovima prirode i stavljanja tih dijelova u funkciju održivog turizma.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4E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Zavod za prostorno uređenje IŽ, Natura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Histrica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JLS u obuhvatu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Limskog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zaljeva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Limske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drage, ostali dionici</w:t>
                  </w:r>
                </w:p>
              </w:tc>
            </w:tr>
            <w:tr w:rsidR="008E38FF" w14:paraId="2D688EF7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CCF4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6C5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D.3 ISTRA ECOXPERIENCE - SVE EKO IZ ISTRE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promicanje zelenog/održivog turizma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edukacija o značaju zelenog turizma za održivi razvoj gospodarstva i zajednice u cjelini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osmišljavanje prihvatljive turističke ponude u zaštićenim područjima prirode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ndiranje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na temelju prirodnog potencijala konkretnog područja)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prikupljanje, analiza, obrada i objava raznih podataka (npr. dolasci, noćenja, potrošnja vode, zbrinjavanje i razvrstavanje otpada i dr.) - ETIS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izdavanje brošure i uređivanje web stranica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s eko-prijateljskim sadržajima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www.istraecoxperience.com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benchmarking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najboljih turističkih destinacija na području održivosti</w:t>
                  </w:r>
                </w:p>
                <w:p w14:paraId="2EB4BB7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provedba edukacija među turističkim dionicima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969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D.3.a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43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 ciljem senzibiliziranja javnosti i promocije eko prijateljskih sadržaja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koji postoje u Istri, objavljuje se eko brošura ''Istra ecoxperience – Sve eko u Istri'' kojoj su obuhvaćeni eko prijateljski sadržaji u Istri: zaštićena područja, eko plaže, eko muzeji, tematski parkovi i eko prijateljske aktivnosti, e-punionice, eko pro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izvođači i eko smještaj. Brošura se izrađuje u dvije jezične varijante, hrvatsko/ talijanska i englesko/njemačka, te se distribuira putem lokalnih turističkih zajednica stanovništvu i gostima koji borave u Istri, te na sajmovima u suradnji s TZIŽ i sa HTZ-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om. Isto tako, odjel upravlja web stranicom Istraecoxperience.com putem koje objavljuje nove i ažurira postojeće sadržaje iz brošure. Također, odjel će nastaviti raditi na podizanju rejtinga stranica, kako bi bile vidljivije na webu.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72A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Ponuđači turističkih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usluga, IRTA, Natura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Histrica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TZIŽ, TZ, ostali dionici</w:t>
                  </w:r>
                </w:p>
              </w:tc>
            </w:tr>
            <w:tr w:rsidR="008E38FF" w14:paraId="0D4C2C57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29A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B29E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49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D.3.b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B43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 ciljem pridobivanja novih sadržaja, objavljuje se javni poziv za uvrštenje u brošuru i na web stranice, u skladu s pravilnikom i definiranim kriterijima koji se temelje na načelima eko-prijateljskog poslovanja.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3C8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Ponuđači turističkih usluga, IRTA, Natura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H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istrica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TZIŽ, TZ, ostali dionici</w:t>
                  </w:r>
                </w:p>
              </w:tc>
            </w:tr>
            <w:tr w:rsidR="008E38FF" w14:paraId="08E55BCA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48A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F06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33E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D.3.c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0B6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Odjel provodi aktivnosti praćenja i informiranja o održivosti turističkog razvoja turizma Istre, u skladu s međunarodnim standardima ETIS sustava, prati niz kvantitativnih i kvalitativnih pokazatelja kojima se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mjeri utjecaj turizma na ekonomske, socijalne,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ekološke, kulturne i druge aspekte održivog razvoja. Cilj projekta je stvaranje baze podataka u funkciji donošenja kvalitetnijih upravljačkih odluka i smjernica razvoja.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E3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 xml:space="preserve">MINTS, IRTA, hotelijeri, JLS, komunalna poduzeća,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TZIŽ, TZ, HGK, HOK, ostali dionici</w:t>
                  </w:r>
                </w:p>
              </w:tc>
            </w:tr>
            <w:tr w:rsidR="008E38FF" w14:paraId="456D7A88" w14:textId="77777777" w:rsidTr="006F0FB8">
              <w:trPr>
                <w:trHeight w:val="937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FF2A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E399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94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D.3.d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EB6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S ciljem podizanja svijesti Odjel provodi edukacije lokalnih dionika o značaju zelenog turizma za održivi razvoj gospodarstva i zajednice u cjelini.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A68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JLS, TZ, UO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održivi, IRENA, IDA, ostali dionici</w:t>
                  </w:r>
                </w:p>
              </w:tc>
            </w:tr>
            <w:tr w:rsidR="008E38FF" w14:paraId="02A33D47" w14:textId="77777777" w:rsidTr="006F0FB8">
              <w:trPr>
                <w:trHeight w:val="262"/>
              </w:trPr>
              <w:tc>
                <w:tcPr>
                  <w:tcW w:w="72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AD1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B6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E.1 TURISTIČKA VALORIZACIJA TRASE PARENZANE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kontinuirano valoriziranje i podizanje kvalitete biciklističke i pješačke staze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 xml:space="preserve">• integriranje sadržaja i ponude uz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Parenzanu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s mjestima uz koje prolazi u jedinstveni brend</w:t>
                  </w:r>
                </w:p>
                <w:p w14:paraId="1374353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provedba projekta Prijatelji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3F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E.1.a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035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Trasa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se u RH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prostire u dužini od 78 km, te prelazi područjem sljedećih JLS-a: Umag, Buje, Grožnjan, Oprtalj, Motovun,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Karojba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Vižinada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Višnjan,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Kaštelir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-Labinci i Poreč. Kako bi se osigurali uvjeti za kontinuirano i nesmetano sportsko-rekreativno korištenje trase,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neophodno je sustavno održavanje. S JLS-ima na trasi sklapa se Sporazum o održavanju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prateći Ugovor o isplati tekuće pomoći. S obzirom na ograničene mogućnosti lokalnih proračuna, posebice manjih jedinica lokalne samouprave u unutrašnjosti Istr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e, na taj način se objedinjavaju namjenska sredstava za uređenje i održavanje trase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(košnja, održavanje podloge i opreme) te se osigurava jedno sustavno rješenje tijekom cijele kalendarske godine.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B16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JLS na trasi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: Gradovi Umag, Buje i Pore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č, Općine Grožnjan, Oprtalj, Motovun,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Karojba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Vižinada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Višnjan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Kaštelir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-Labinci, ostali dionici</w:t>
                  </w:r>
                </w:p>
              </w:tc>
            </w:tr>
            <w:tr w:rsidR="008E38FF" w14:paraId="51FDD75F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7361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3EFD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5D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E.1.b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3A6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Nadopuna i reprint karte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upravljanje web stranicom </w:t>
                  </w:r>
                  <w:hyperlink r:id="rId11" w:history="1">
                    <w:r w:rsidRPr="001E0E8E">
                      <w:rPr>
                        <w:rFonts w:eastAsia="Arial" w:cs="Arial"/>
                        <w:sz w:val="20"/>
                        <w:u w:val="single"/>
                        <w:lang w:eastAsia="hr-HR"/>
                      </w:rPr>
                      <w:t>www.parenzana.net</w:t>
                    </w:r>
                  </w:hyperlink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putem koje objavljujemo nove i ažuriramo postojeće sadržaje o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(brošure, multimedijalne sadržaje i dr.), provedba Facebook i Instagram promotivne kampanje, aplikacija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uređenje i opremanje, kontrola stanja trase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nekoliko puta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godišnje, i ostale izvanredne aktivnosti.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1E8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JLS na trasi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: Gradovi Umag, Buje i Poreč, Općine Grožnjan, Oprtalj, Motovun,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Karojba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Vižinada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Višnjan 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Kaštelir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-Labinci, ostali dionici</w:t>
                  </w:r>
                </w:p>
              </w:tc>
            </w:tr>
            <w:tr w:rsidR="008E38FF" w14:paraId="6E5410DA" w14:textId="77777777" w:rsidTr="006F0FB8">
              <w:trPr>
                <w:trHeight w:val="952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48F5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2A2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A1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E.1.c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323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Uređenje vijadukta SABADIN – projekt je izvršen u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cijelosti te se u 2026. neće provoditi aktivnosti. Potrebno je samo transferirati financijska sredstva projektnom partneru, Gradu Poreču.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06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JLS na trasi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: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Grad Poreč, Općine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Karojba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Vižinada</w:t>
                  </w:r>
                  <w:proofErr w:type="spellEnd"/>
                </w:p>
              </w:tc>
            </w:tr>
            <w:tr w:rsidR="008E38FF" w14:paraId="47F7D24C" w14:textId="77777777" w:rsidTr="006F0FB8">
              <w:trPr>
                <w:trHeight w:val="952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AB1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C691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805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E.1.d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76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Projektom PRIJATELJI PARENZANE želi se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izdvojiti one koji se ističu svojim trudom, savjesnošću i odgovornošću prema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Parenzani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te istaknuti njezine prijatelje. Odjel želi posebno istaknuti i nagraditi fizičke i pravne osobe koje podupiru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Parenzanu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, te istinski, savjesno i aktivno brinu o dobrob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iti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koje surađuju, signaliziraju i u partnerstvu s Istarskom županijom i s JLS-ima na trasi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doprinose razvoju i očuvanju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. U tu svrhu je Odjel izradio vizualni identitet i pravilnik projekta, te je objavljen javni poziv za dod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jelu oznake.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BA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JLS, ugostitelji, iznajmljivači, agencije, servisi na trasi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fizičke osobe </w:t>
                  </w:r>
                </w:p>
              </w:tc>
            </w:tr>
            <w:tr w:rsidR="008E38FF" w14:paraId="0E3D1843" w14:textId="77777777" w:rsidTr="006F0FB8">
              <w:trPr>
                <w:trHeight w:val="1125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92C4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4E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E.2 ODRŽIVI RAZVOJ PLAŽA</w:t>
                  </w:r>
                </w:p>
                <w:p w14:paraId="3E7742A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praćenje i provedba Regionalnog programa uređenja i opremanja morskih plaža u Istarskoj županiji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778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E.2.a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14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Temeljem Regionalnog programa uređenja i upravljanja morskim plažama u Istarskoj županiji, koji je sufinanciran sredstvima Ministarstva turizma i sporta RH, Odjel prati uređenje i tematizaciju istarskih plaža od strane javnog i privatnog sektora, na način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da prikuplja podatke od priobalnih JLS-a i koncesionara na pojedinim plažama o njihovim ulaganjima u uređenje i tematizaciju plaža.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455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MINTS, UO za održivi razvoj IŽ, JLS, hotelijeri, TZIŽ, ustroj lokalnih TZ-a, ostali dionici</w:t>
                  </w:r>
                </w:p>
              </w:tc>
            </w:tr>
            <w:tr w:rsidR="008E38FF" w14:paraId="17B7C37C" w14:textId="77777777" w:rsidTr="006F0FB8">
              <w:trPr>
                <w:trHeight w:val="2530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8D44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C1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 SUDJELOVANJE U MEĐUNARODNI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 PROJEKTIMA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priprema projektne dokumentacije za osiguravanje financijskih sredstava iz EU i nacionalnih izvora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informiranje dionika o novim natječajima i mogućnostima financiranja turističkih projekata iz raznih EU i nacionalnih fondova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br/>
                    <w:t>• članstvo u m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eđunarodnim organizacijama (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NescTour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i dr.)</w:t>
                  </w:r>
                </w:p>
                <w:p w14:paraId="36CAD2C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provedba EU projekata CYROS,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AdriACTIVE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IstraECOinclusive</w:t>
                  </w:r>
                  <w:proofErr w:type="spellEnd"/>
                </w:p>
                <w:p w14:paraId="1E03E027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E7D3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13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Prikupljanje, priprema i koordiniranje turističkih projekata za financiranje iz raznih EU i nacionalnih fondova u suradnji sa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županijskim upravnim odjelima, agencijama i ustanovama, Ministarstvom turizma i sporta, Hrvatskom gospodarskom komorom, jedinicama lokalne samouprave, turističkim zajednicama, Institutom za poljoprivredu i turizam Poreč. U 2026. g . Odjel će provoditi EU p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rojekte CYROS,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AdriACTIVE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IstraECOinclusive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49F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MINTS, JU Regionalni koordinator Istarske županije za europske programe i fondove, UO za kulturu IŽ, IRTA, IDA, AZRRI, Institut za poljoprivredu i turizam - Poreč, HGK, JLS, TZIŽ, ustroj lokalnih TZ-a, ostali d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ionici</w:t>
                  </w:r>
                </w:p>
              </w:tc>
            </w:tr>
            <w:tr w:rsidR="008E38FF" w14:paraId="02C6A2A6" w14:textId="77777777" w:rsidTr="006F0FB8">
              <w:trPr>
                <w:trHeight w:val="691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BA8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D466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3D5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4A1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Članstvo u međunarodnoj organizaciji GSTC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3F0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>GSTC</w:t>
                  </w:r>
                </w:p>
              </w:tc>
            </w:tr>
            <w:tr w:rsidR="008E38FF" w14:paraId="10627137" w14:textId="77777777" w:rsidTr="006F0FB8">
              <w:trPr>
                <w:trHeight w:val="2590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6923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B59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D8B1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E.3.c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AC3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Projekt CYROS odobren je za financiranje iz programa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Interreg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Italija-Hrvatska te je njegova provedba započela 2024. godine. Glavni cilj projekta je razvoj zajedničkih prekograničnih biciklističkih ruta i njihovo povezivanje s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intermodalnim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prijevozom (s biciklom na bus, vlak, brod i sl.), izrada prekogranične strat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egije za razvoj pomorskog prijevoza te uvođenje novih linija između dviju država. Aktivnosti IŽ su: trasiranje Jadransko-jonske rute na području županije; projektiranje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multimodalnih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transportnih rješenja i usluga; usluge i oprema za bicikliste na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intermod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alnim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/prometnim čvorištima i duž biciklističkih ruta, te usluge za rješenja održive mobilnosti; digitalna i ICT rješenja koja podržavaju održivu mobilnost; definiranje i razvoj raznolike prekogranične turističke ponude duž biciklističkih ruta; komunikacijs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ke aktivnosti. Trajanje projekta je 30 mjeseci.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3A8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Primorsko-goranska županija, Dubrovačko-neretvanska županija, regije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Friuli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Venezia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Giulia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(vodeći partner),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Abruzzo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Apulia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Marche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i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Emilia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Romagna</w:t>
                  </w:r>
                  <w:proofErr w:type="spellEnd"/>
                </w:p>
              </w:tc>
            </w:tr>
            <w:tr w:rsidR="008E38FF" w14:paraId="40D30D8A" w14:textId="77777777" w:rsidTr="006F0FB8">
              <w:trPr>
                <w:trHeight w:val="931"/>
              </w:trPr>
              <w:tc>
                <w:tcPr>
                  <w:tcW w:w="72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D7C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1DB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72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E.3.d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894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Projekt ADRIACTIVE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odobren je za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financiranje iz programa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Interreg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Italija-Hrvatska te je njegova provedba započela 2025. godine. Glavni cilj projekta je razvoj prekograničnog kulturno-turističkog proizvoda. Glavne aktivnosti IŽ su: uređenje Etnografskog muzeja Istre, uređenje cisterne i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pristupne rampe za Kuću vještice Mare (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Savičenta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) te opremanje eko-muzeja Vlaški puti (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Šušnjevica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). Također, zaduženi smo za razvoj turističkog proizvoda, inovativan </w:t>
                  </w:r>
                  <w:proofErr w:type="spellStart"/>
                  <w:r w:rsidRPr="001E0E8E">
                    <w:rPr>
                      <w:rFonts w:cs="Arial"/>
                      <w:i/>
                      <w:sz w:val="20"/>
                      <w:lang w:eastAsia="hr-HR"/>
                    </w:rPr>
                    <w:t>storrytelling</w:t>
                  </w:r>
                  <w:proofErr w:type="spellEnd"/>
                  <w:r w:rsidRPr="001E0E8E">
                    <w:rPr>
                      <w:rFonts w:cs="Arial"/>
                      <w:i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>i prekograničnu strategiju</w:t>
                  </w:r>
                  <w:r w:rsidRPr="001E0E8E">
                    <w:rPr>
                      <w:rFonts w:cs="Arial"/>
                      <w:i/>
                      <w:sz w:val="20"/>
                      <w:lang w:eastAsia="hr-HR"/>
                    </w:rPr>
                    <w:t xml:space="preserve">.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Trajanje projekta je 42 mjeseca.               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F6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Regione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Puglia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(vodeći partner), regije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Abruzzo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Emilia-Romagna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Friuli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Venezia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Giulia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Molise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Marche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, CISET,  DUNEA,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LIRA, ŠKRA, RERA, PRIGODA, TZ Karlovačke županije, ZADRA NOVA</w:t>
                  </w:r>
                </w:p>
              </w:tc>
            </w:tr>
            <w:tr w:rsidR="008E38FF" w14:paraId="5B2BE0F7" w14:textId="77777777" w:rsidTr="006F0FB8">
              <w:trPr>
                <w:trHeight w:val="262"/>
              </w:trPr>
              <w:tc>
                <w:tcPr>
                  <w:tcW w:w="723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2FBC" w14:textId="77777777" w:rsidR="001E0E8E" w:rsidRPr="001E0E8E" w:rsidRDefault="001E0E8E" w:rsidP="001E0E8E">
                  <w:pPr>
                    <w:spacing w:line="276" w:lineRule="auto"/>
                    <w:jc w:val="center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3FDF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4286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E.3.e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9D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Projekt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IstraECOinclusive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odobren je za financiranje iz programa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Interreg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Slovenija-Hrvatska te će njegova provedba biti započeta 1. ožujka 2026. godine. Glavni cilj projekta je razvoj nove prekogranične održive inkluzivne destinacije. Aktivnosti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IŽ su: uspostavljanje i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testiranjenje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iskustveno interpretacijske staze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nadogradnja mobilne aplikacije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organizacija dvodnevnog prekograničnog Festivala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IstraECOinclusive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nadogradnja/nadopuna web stranica </w:t>
                  </w:r>
                  <w:hyperlink r:id="rId12" w:history="1">
                    <w:r w:rsidRPr="001E0E8E">
                      <w:rPr>
                        <w:rFonts w:cs="Arial"/>
                        <w:sz w:val="20"/>
                        <w:u w:val="single"/>
                        <w:lang w:eastAsia="hr-HR"/>
                      </w:rPr>
                      <w:t>www.istraecoxpoerience.com</w:t>
                    </w:r>
                  </w:hyperlink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</w:t>
                  </w:r>
                  <w:hyperlink r:id="rId13" w:history="1">
                    <w:r w:rsidRPr="001E0E8E">
                      <w:rPr>
                        <w:rFonts w:cs="Arial"/>
                        <w:sz w:val="20"/>
                        <w:u w:val="single"/>
                        <w:lang w:eastAsia="hr-HR"/>
                      </w:rPr>
                      <w:t>www.parenzana.net</w:t>
                    </w:r>
                  </w:hyperlink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čišćenje i ograđivanje jame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Bašarinka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, inkluzivni sadržaji na </w:t>
                  </w:r>
                  <w:proofErr w:type="spellStart"/>
                  <w:r w:rsidRPr="001E0E8E">
                    <w:rPr>
                      <w:rFonts w:cs="Arial"/>
                      <w:sz w:val="20"/>
                      <w:lang w:eastAsia="hr-HR"/>
                    </w:rPr>
                    <w:t>Parenzani</w:t>
                  </w:r>
                  <w:proofErr w:type="spellEnd"/>
                  <w:r w:rsidRPr="001E0E8E">
                    <w:rPr>
                      <w:rFonts w:cs="Arial"/>
                      <w:sz w:val="20"/>
                      <w:lang w:eastAsia="hr-HR"/>
                    </w:rPr>
                    <w:t>. Cilj sudjelovanja u projektu je jačanje prekogranične suradnje turističkog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sektora, stanovništva i institucija, kvalitetnije upravljanje turizmom i prostorom, povećanja kvalitete života i jačanja otpornosti na okolišne i društvene izazove na području Istre. Trajanje projekta je 30 mjeseci.                                        </w:t>
                  </w:r>
                  <w:r w:rsidRPr="001E0E8E">
                    <w:rPr>
                      <w:rFonts w:cs="Arial"/>
                      <w:sz w:val="20"/>
                      <w:lang w:eastAsia="hr-HR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A43" w14:textId="77777777" w:rsidR="001E0E8E" w:rsidRPr="001E0E8E" w:rsidRDefault="00240F72" w:rsidP="001E0E8E">
                  <w:pPr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Roboto-Regular" w:hAnsi="Roboto-Regular" w:cs="Roboto-Regular"/>
                      <w:sz w:val="21"/>
                      <w:szCs w:val="21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ZRC SAZU, </w:t>
                  </w:r>
                  <w:r w:rsidRPr="001E0E8E">
                    <w:rPr>
                      <w:rFonts w:ascii="Roboto-Regular" w:hAnsi="Roboto-Regular" w:cs="Roboto-Regular"/>
                      <w:sz w:val="21"/>
                      <w:szCs w:val="21"/>
                      <w:lang w:eastAsia="hr-HR"/>
                    </w:rPr>
                    <w:t>ZVEZA</w:t>
                  </w:r>
                </w:p>
                <w:p w14:paraId="43D19AC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ascii="Roboto-Regular" w:hAnsi="Roboto-Regular" w:cs="Roboto-Regular"/>
                      <w:sz w:val="21"/>
                      <w:szCs w:val="21"/>
                      <w:lang w:eastAsia="hr-HR"/>
                    </w:rPr>
                    <w:t>SONČEK, ROS.TURIST, IPTPO, OPĆINA VRSAR, TZO VRSAR</w:t>
                  </w:r>
                </w:p>
              </w:tc>
            </w:tr>
            <w:tr w:rsidR="008E38FF" w14:paraId="5792E443" w14:textId="77777777" w:rsidTr="006F0FB8">
              <w:trPr>
                <w:trHeight w:val="262"/>
              </w:trPr>
              <w:tc>
                <w:tcPr>
                  <w:tcW w:w="72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5CAA" w14:textId="77777777" w:rsidR="001E0E8E" w:rsidRPr="001E0E8E" w:rsidRDefault="00240F72" w:rsidP="001E0E8E">
                  <w:pPr>
                    <w:spacing w:line="276" w:lineRule="auto"/>
                    <w:jc w:val="center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F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60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F.1 KATEGORIZACIJA</w:t>
                  </w:r>
                </w:p>
                <w:p w14:paraId="1D7F572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digitalna transformacija sustava javne uprave i uspostava sustava e-Turizam kroz nadogradnju sustava, </w:t>
                  </w:r>
                </w:p>
                <w:p w14:paraId="393E839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konsolidacija i verifikacija baze podataka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TuStart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Registra   </w:t>
                  </w:r>
                </w:p>
                <w:p w14:paraId="2E4B7E8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izrada regionalnog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Geoportala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ugostiteljstva Istarske županije </w:t>
                  </w:r>
                </w:p>
                <w:p w14:paraId="2141DF7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uspostav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 sustava e-turizam,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TuStart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Registra</w:t>
                  </w:r>
                </w:p>
                <w:p w14:paraId="772639E2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podizanje razine kvalitete pružanja usluga građanima i povećanja ekonomičnosti u smjeru jače digitalizacije upravnih procesa</w:t>
                  </w:r>
                </w:p>
                <w:p w14:paraId="10877DA7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• razvoj ljudskih potencijala u javnoj upravi kroz edukacije </w:t>
                  </w:r>
                </w:p>
                <w:p w14:paraId="38EC2E89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propisanih mini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malnih uvjeta u ugostiteljskim objektima te razvrstavanje i kategorizacija ugostiteljskih objekata</w:t>
                  </w:r>
                </w:p>
                <w:p w14:paraId="57C20074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• razvrstavanje i kategorizacija objekata u kojima se pružaju ugostiteljske usluge u domaćinstvu</w:t>
                  </w:r>
                </w:p>
                <w:p w14:paraId="4898554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minimalnih uvjeta za vrstu i kategoriju objekata u kojima se pružaju ugostiteljske usluge na obiteljskom poljoprivrednom gospodarstvu</w:t>
                  </w:r>
                </w:p>
                <w:p w14:paraId="170D7225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izdavanje rješenja o odobrenju za pružanje usluga turističkog vodiča</w:t>
                  </w:r>
                </w:p>
                <w:p w14:paraId="79E0C2F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minimalnih uvjeta za vr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stu plovnih objekata</w:t>
                  </w:r>
                </w:p>
                <w:p w14:paraId="3EA5640A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utvrđivanje minimalnih uvjeta luka nautičkog turizma koje se ne kategoriziraju</w:t>
                  </w:r>
                </w:p>
                <w:p w14:paraId="69FB9E7C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izdavanje iskaznica za turističke vodiče</w:t>
                  </w:r>
                </w:p>
                <w:p w14:paraId="74FBE67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usklađivanje s propisima iz područja ugostiteljstva, turizma, prostornog planiranja, gradnje, očuvanja okoliš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i dr.</w:t>
                  </w:r>
                </w:p>
                <w:p w14:paraId="7EC65BBE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eastAsia="Arial"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• ujednačavanje praksi među službenicima koji rade na upravnim poslovima</w:t>
                  </w: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7E7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lastRenderedPageBreak/>
                    <w:t>F.1.a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BA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U sklopu povjerenih poslova državne uprave u IŽ, kontinuirano će se pratiti stanje i potrebe svih mjesta rada. Planira se osigurati pomoć dodatnih službenika i vozila u 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odjelu za vrijeme povećanog opsega posla i u periodima osobito sezonskog pritiska na rad službenika. Poslovanje će se jače digitalizirati: preuzimanje obrazaca sa web stranica i putem portala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eTurizam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, uz mogućnost online predaje zahtjeva putem NIAS sustav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e-Građani i izdavanja rješenja u elektroničkom obliku, komunikacija sa strankama telefonski i elektronički putem e-maila, daljnje usklađivanje sustava zaprimanja zahtjeva i izdavanja rješenja sa sustavom novog uredskog poslovanja te povezivanje sustava s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drugim digitalnim bazama (ZUPIT, e-Turizam), nadogradnja digitalne baze podataka izdanih akata (rješenja, potvrda i dr.) kako bi se mogao pratiti broj i vrsta zaprimljenih i riješenih predmeta, teritorijalna raspodjela predmeta i dr. Izraditi će se digit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alni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geoportal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ugostiteljstva Istarske županije s podacima iz baze preuzete od bivših Ureda državne uprave u Istarskoj županiji. </w:t>
                  </w:r>
                  <w:proofErr w:type="spellStart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Geoportal</w:t>
                  </w:r>
                  <w:proofErr w:type="spellEnd"/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turizma i ugostiteljstva će biti temeljen na katastarskim česticama na kojima se nalaze objekti.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E7F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Mjesta rad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a u Gradovima Umag, Poreč, Rovinj, Pula, Labin, Pazin i Buzet, MINTS, ostali dionici</w:t>
                  </w:r>
                </w:p>
              </w:tc>
            </w:tr>
            <w:tr w:rsidR="008E38FF" w14:paraId="4ED258FD" w14:textId="77777777" w:rsidTr="006F0FB8">
              <w:trPr>
                <w:trHeight w:val="262"/>
              </w:trPr>
              <w:tc>
                <w:tcPr>
                  <w:tcW w:w="72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CE49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883C" w14:textId="77777777" w:rsidR="001E0E8E" w:rsidRPr="001E0E8E" w:rsidRDefault="001E0E8E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4BD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F.1.b</w:t>
                  </w:r>
                </w:p>
              </w:tc>
              <w:tc>
                <w:tcPr>
                  <w:tcW w:w="7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050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Odjel će nastaviti s provedbom projekta Hrvatski digitalni turizam - e-turizam, u sklopu kojeg Ministarstvo turizma i sporta izrađuje Središnji turistički registar. Uvesti će se efikasnija organizacija terenskih obilazaka i komunikacija sa strankama. Eduka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cije i praćenje propisa iz područja ugostiteljstva i turizma te suradnja sa nadležnim Ministarstvima i ostalim institucijama biti će osnova za razvoj i unaprjeđenje poslovnih procesa.</w:t>
                  </w:r>
                </w:p>
              </w:tc>
              <w:tc>
                <w:tcPr>
                  <w:tcW w:w="20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5C1B" w14:textId="77777777" w:rsidR="001E0E8E" w:rsidRPr="001E0E8E" w:rsidRDefault="00240F72" w:rsidP="001E0E8E">
                  <w:pPr>
                    <w:spacing w:line="276" w:lineRule="auto"/>
                    <w:jc w:val="left"/>
                    <w:rPr>
                      <w:rFonts w:cs="Arial"/>
                      <w:sz w:val="20"/>
                      <w:lang w:eastAsia="hr-HR"/>
                    </w:rPr>
                  </w:pP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>Mjesta rada u Gradovima Umag, Poreč, Rovinj, Pula, Labin, Pazin i Buzet,</w:t>
                  </w:r>
                  <w:r w:rsidRPr="001E0E8E">
                    <w:rPr>
                      <w:rFonts w:eastAsia="Arial" w:cs="Arial"/>
                      <w:sz w:val="20"/>
                      <w:lang w:eastAsia="hr-HR"/>
                    </w:rPr>
                    <w:t xml:space="preserve"> MINTS, ostali dionici</w:t>
                  </w:r>
                </w:p>
              </w:tc>
            </w:tr>
          </w:tbl>
          <w:p w14:paraId="76ACD260" w14:textId="77777777" w:rsidR="001E0E8E" w:rsidRPr="001E0E8E" w:rsidRDefault="001E0E8E" w:rsidP="001E0E8E">
            <w:pPr>
              <w:jc w:val="left"/>
              <w:rPr>
                <w:rFonts w:cs="Arial"/>
                <w:sz w:val="20"/>
                <w:lang w:eastAsia="hr-HR"/>
              </w:rPr>
            </w:pPr>
          </w:p>
        </w:tc>
      </w:tr>
      <w:tr w:rsidR="008E38FF" w14:paraId="1FAF9DDC" w14:textId="77777777" w:rsidTr="006F0FB8">
        <w:trPr>
          <w:trHeight w:val="295"/>
        </w:trPr>
        <w:tc>
          <w:tcPr>
            <w:tcW w:w="20" w:type="dxa"/>
          </w:tcPr>
          <w:p w14:paraId="7561A19A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5507" w:type="dxa"/>
          </w:tcPr>
          <w:p w14:paraId="3D818396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9417" w:type="dxa"/>
          </w:tcPr>
          <w:p w14:paraId="2CA1E809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64" w:type="dxa"/>
            <w:gridSpan w:val="2"/>
          </w:tcPr>
          <w:p w14:paraId="5A4F733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20" w:type="dxa"/>
          </w:tcPr>
          <w:p w14:paraId="3504E06D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  <w:tc>
          <w:tcPr>
            <w:tcW w:w="100" w:type="dxa"/>
            <w:gridSpan w:val="2"/>
          </w:tcPr>
          <w:p w14:paraId="17227357" w14:textId="77777777" w:rsidR="001E0E8E" w:rsidRPr="001E0E8E" w:rsidRDefault="001E0E8E" w:rsidP="001E0E8E">
            <w:pPr>
              <w:jc w:val="left"/>
              <w:rPr>
                <w:rFonts w:cs="Arial"/>
                <w:sz w:val="2"/>
                <w:lang w:eastAsia="hr-HR"/>
              </w:rPr>
            </w:pPr>
          </w:p>
        </w:tc>
      </w:tr>
    </w:tbl>
    <w:p w14:paraId="2F47BED0" w14:textId="77777777" w:rsidR="00C37155" w:rsidRPr="002D4410" w:rsidRDefault="00240F72" w:rsidP="00C37155">
      <w:pPr>
        <w:pStyle w:val="Istarska"/>
        <w:spacing w:after="0"/>
        <w:jc w:val="left"/>
        <w:rPr>
          <w:sz w:val="22"/>
          <w:szCs w:val="22"/>
        </w:rPr>
      </w:pPr>
      <w:bookmarkStart w:id="2" w:name="_Hlk149651059"/>
      <w:bookmarkStart w:id="3" w:name="_Hlk149202145"/>
      <w:r w:rsidRPr="002D4410">
        <w:rPr>
          <w:sz w:val="22"/>
          <w:szCs w:val="22"/>
        </w:rPr>
        <w:t xml:space="preserve">KLASA/CLASSE: </w:t>
      </w:r>
      <w:bookmarkStart w:id="4" w:name="_Hlk151037621"/>
      <w:r w:rsidRPr="002D4410">
        <w:rPr>
          <w:sz w:val="22"/>
          <w:szCs w:val="22"/>
        </w:rPr>
        <w:fldChar w:fldCharType="begin">
          <w:ffData>
            <w:name w:val="Klasa"/>
            <w:enabled/>
            <w:calcOnExit w:val="0"/>
            <w:textInput>
              <w:default w:val="&lt;Klasa&gt;"/>
            </w:textInput>
          </w:ffData>
        </w:fldChar>
      </w:r>
      <w:bookmarkStart w:id="5" w:name="Klasa"/>
      <w:r w:rsidRPr="002D4410">
        <w:rPr>
          <w:sz w:val="22"/>
          <w:szCs w:val="22"/>
        </w:rPr>
        <w:instrText xml:space="preserve"> FORMTEXT </w:instrText>
      </w:r>
      <w:r w:rsidRPr="002D4410">
        <w:rPr>
          <w:sz w:val="22"/>
          <w:szCs w:val="22"/>
        </w:rPr>
      </w:r>
      <w:r w:rsidRPr="002D4410">
        <w:rPr>
          <w:sz w:val="22"/>
          <w:szCs w:val="22"/>
        </w:rPr>
        <w:fldChar w:fldCharType="separate"/>
      </w:r>
      <w:r w:rsidRPr="002D4410">
        <w:rPr>
          <w:noProof/>
          <w:sz w:val="22"/>
          <w:szCs w:val="22"/>
        </w:rPr>
        <w:t>334-01/25-02/43</w:t>
      </w:r>
      <w:r w:rsidRPr="002D4410">
        <w:rPr>
          <w:sz w:val="22"/>
          <w:szCs w:val="22"/>
        </w:rPr>
        <w:fldChar w:fldCharType="end"/>
      </w:r>
      <w:bookmarkEnd w:id="4"/>
      <w:bookmarkEnd w:id="5"/>
    </w:p>
    <w:p w14:paraId="6E700CBF" w14:textId="77777777" w:rsidR="00C37155" w:rsidRPr="002D4410" w:rsidRDefault="00240F72" w:rsidP="00C37155">
      <w:pPr>
        <w:pStyle w:val="Istarska"/>
        <w:spacing w:after="0"/>
        <w:jc w:val="left"/>
        <w:rPr>
          <w:sz w:val="22"/>
          <w:szCs w:val="22"/>
        </w:rPr>
      </w:pPr>
      <w:r w:rsidRPr="002D4410">
        <w:rPr>
          <w:sz w:val="22"/>
          <w:szCs w:val="22"/>
        </w:rPr>
        <w:t xml:space="preserve">URBROJ/N:PROT: </w:t>
      </w:r>
      <w:bookmarkStart w:id="6" w:name="_Hlk151037631"/>
      <w:r w:rsidRPr="002D4410">
        <w:rPr>
          <w:sz w:val="22"/>
          <w:szCs w:val="22"/>
        </w:rPr>
        <w:fldChar w:fldCharType="begin">
          <w:ffData>
            <w:name w:val="Urbroj"/>
            <w:enabled/>
            <w:calcOnExit w:val="0"/>
            <w:textInput>
              <w:default w:val="&lt;Urudžbeni broj&gt;"/>
            </w:textInput>
          </w:ffData>
        </w:fldChar>
      </w:r>
      <w:bookmarkStart w:id="7" w:name="Urbroj"/>
      <w:r w:rsidRPr="002D4410">
        <w:rPr>
          <w:sz w:val="22"/>
          <w:szCs w:val="22"/>
        </w:rPr>
        <w:instrText xml:space="preserve"> FORMTEXT </w:instrText>
      </w:r>
      <w:r w:rsidRPr="002D4410">
        <w:rPr>
          <w:sz w:val="22"/>
          <w:szCs w:val="22"/>
        </w:rPr>
      </w:r>
      <w:r w:rsidRPr="002D4410">
        <w:rPr>
          <w:sz w:val="22"/>
          <w:szCs w:val="22"/>
        </w:rPr>
        <w:fldChar w:fldCharType="separate"/>
      </w:r>
      <w:r w:rsidRPr="002D4410">
        <w:rPr>
          <w:noProof/>
          <w:sz w:val="22"/>
          <w:szCs w:val="22"/>
        </w:rPr>
        <w:t>2163-10/3-25-3</w:t>
      </w:r>
      <w:r w:rsidRPr="002D4410">
        <w:rPr>
          <w:sz w:val="22"/>
          <w:szCs w:val="22"/>
        </w:rPr>
        <w:fldChar w:fldCharType="end"/>
      </w:r>
      <w:bookmarkEnd w:id="6"/>
      <w:bookmarkEnd w:id="7"/>
    </w:p>
    <w:bookmarkEnd w:id="0"/>
    <w:bookmarkEnd w:id="2"/>
    <w:p w14:paraId="5BA5FDC3" w14:textId="77777777" w:rsidR="005B0255" w:rsidRPr="001E0E8E" w:rsidRDefault="00240F72" w:rsidP="001E0E8E">
      <w:pPr>
        <w:pStyle w:val="Istarska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Poreč- Parenzo</w:t>
      </w:r>
      <w:r w:rsidR="00984DE4" w:rsidRPr="002D4410">
        <w:rPr>
          <w:sz w:val="22"/>
          <w:szCs w:val="22"/>
        </w:rPr>
        <w:t xml:space="preserve">, </w:t>
      </w:r>
      <w:bookmarkStart w:id="8" w:name="_Hlk151037588"/>
      <w:r w:rsidR="00984DE4" w:rsidRPr="002D4410">
        <w:rPr>
          <w:sz w:val="22"/>
          <w:szCs w:val="22"/>
        </w:rPr>
        <w:fldChar w:fldCharType="begin">
          <w:ffData>
            <w:name w:val="Datum"/>
            <w:enabled/>
            <w:calcOnExit w:val="0"/>
            <w:textInput>
              <w:default w:val="&lt;Datum&gt;"/>
            </w:textInput>
          </w:ffData>
        </w:fldChar>
      </w:r>
      <w:bookmarkStart w:id="9" w:name="Datum"/>
      <w:r w:rsidR="00984DE4" w:rsidRPr="002D4410">
        <w:rPr>
          <w:sz w:val="22"/>
          <w:szCs w:val="22"/>
        </w:rPr>
        <w:instrText xml:space="preserve"> FORMTEXT </w:instrText>
      </w:r>
      <w:r w:rsidR="00984DE4" w:rsidRPr="002D4410">
        <w:rPr>
          <w:sz w:val="22"/>
          <w:szCs w:val="22"/>
        </w:rPr>
      </w:r>
      <w:r w:rsidR="00984DE4" w:rsidRPr="002D4410">
        <w:rPr>
          <w:sz w:val="22"/>
          <w:szCs w:val="22"/>
        </w:rPr>
        <w:fldChar w:fldCharType="separate"/>
      </w:r>
      <w:r w:rsidR="00984DE4" w:rsidRPr="002D4410">
        <w:rPr>
          <w:noProof/>
          <w:sz w:val="22"/>
          <w:szCs w:val="22"/>
        </w:rPr>
        <w:t>30. prosinca 2025.</w:t>
      </w:r>
      <w:r w:rsidR="00984DE4" w:rsidRPr="002D4410">
        <w:rPr>
          <w:sz w:val="22"/>
          <w:szCs w:val="22"/>
        </w:rPr>
        <w:fldChar w:fldCharType="end"/>
      </w:r>
      <w:bookmarkEnd w:id="1"/>
      <w:bookmarkEnd w:id="3"/>
      <w:bookmarkEnd w:id="8"/>
      <w:bookmarkEnd w:id="9"/>
    </w:p>
    <w:p w14:paraId="0A04FDC8" w14:textId="77777777" w:rsidR="005B0255" w:rsidRPr="002D4410" w:rsidRDefault="005B0255" w:rsidP="008E4FFC">
      <w:pPr>
        <w:rPr>
          <w:rFonts w:cs="Arial"/>
          <w:szCs w:val="22"/>
        </w:rPr>
      </w:pPr>
    </w:p>
    <w:p w14:paraId="7C889042" w14:textId="77777777" w:rsidR="000B5B7C" w:rsidRPr="002D4410" w:rsidRDefault="000B5B7C" w:rsidP="008E4FFC">
      <w:pPr>
        <w:rPr>
          <w:rFonts w:cs="Arial"/>
          <w:szCs w:val="22"/>
        </w:rPr>
      </w:pPr>
    </w:p>
    <w:p w14:paraId="1E13336F" w14:textId="77777777" w:rsidR="002D4410" w:rsidRPr="002D4410" w:rsidRDefault="002D4410" w:rsidP="001366C9">
      <w:pPr>
        <w:rPr>
          <w:szCs w:val="22"/>
          <w:lang w:eastAsia="hr-HR"/>
        </w:rPr>
      </w:pPr>
    </w:p>
    <w:sectPr w:rsidR="002D4410" w:rsidRPr="002D4410" w:rsidSect="001E0E8E">
      <w:footerReference w:type="default" r:id="rId14"/>
      <w:footerReference w:type="first" r:id="rId15"/>
      <w:pgSz w:w="16840" w:h="11907" w:orient="landscape" w:code="9"/>
      <w:pgMar w:top="568" w:right="1440" w:bottom="1440" w:left="851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6821" w14:textId="77777777" w:rsidR="00240F72" w:rsidRDefault="00240F72">
      <w:r>
        <w:separator/>
      </w:r>
    </w:p>
  </w:endnote>
  <w:endnote w:type="continuationSeparator" w:id="0">
    <w:p w14:paraId="0BEC1189" w14:textId="77777777" w:rsidR="00240F72" w:rsidRDefault="0024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149202352" w:displacedByCustomXml="next"/>
  <w:bookmarkStart w:id="11" w:name="_Hlk149202964" w:displacedByCustomXml="next"/>
  <w:sdt>
    <w:sdtPr>
      <w:rPr>
        <w:szCs w:val="22"/>
      </w:rPr>
      <w:id w:val="1728636285"/>
      <w:docPartObj>
        <w:docPartGallery w:val="Page Numbers (Top of Page)"/>
        <w:docPartUnique/>
      </w:docPartObj>
    </w:sdtPr>
    <w:sdtEndPr/>
    <w:sdtContent>
      <w:p w14:paraId="14BDE80E" w14:textId="77777777" w:rsidR="006F2749" w:rsidRPr="001366C9" w:rsidRDefault="00240F72" w:rsidP="002A5AAA">
        <w:pPr>
          <w:pStyle w:val="Podnoje"/>
          <w:jc w:val="right"/>
          <w:rPr>
            <w:szCs w:val="22"/>
          </w:rPr>
        </w:pPr>
        <w:r>
          <w:rPr>
            <w:noProof/>
            <w:szCs w:val="22"/>
          </w:rPr>
          <w:drawing>
            <wp:anchor distT="0" distB="0" distL="114300" distR="114300" simplePos="0" relativeHeight="251658240" behindDoc="0" locked="0" layoutInCell="1" allowOverlap="1" wp14:anchorId="3F94C404" wp14:editId="4930916A">
              <wp:simplePos x="0" y="0"/>
              <wp:positionH relativeFrom="page">
                <wp:align>center</wp:align>
              </wp:positionH>
              <wp:positionV relativeFrom="paragraph">
                <wp:posOffset>-158115</wp:posOffset>
              </wp:positionV>
              <wp:extent cx="1220400" cy="439200"/>
              <wp:effectExtent l="0" t="0" r="0" b="0"/>
              <wp:wrapNone/>
              <wp:docPr id="14" name="Slika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Slika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0400" cy="43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D4410" w:rsidRPr="001366C9">
          <w:rPr>
            <w:szCs w:val="22"/>
          </w:rPr>
          <w:fldChar w:fldCharType="begin"/>
        </w:r>
        <w:r w:rsidR="002D4410" w:rsidRPr="001366C9">
          <w:rPr>
            <w:szCs w:val="22"/>
          </w:rPr>
          <w:instrText xml:space="preserve"> PAGE </w:instrText>
        </w:r>
        <w:r w:rsidR="002D4410" w:rsidRPr="001366C9">
          <w:rPr>
            <w:szCs w:val="22"/>
          </w:rPr>
          <w:fldChar w:fldCharType="separate"/>
        </w:r>
        <w:r w:rsidR="002D4410" w:rsidRPr="001366C9">
          <w:rPr>
            <w:szCs w:val="22"/>
          </w:rPr>
          <w:t>18</w:t>
        </w:r>
        <w:r w:rsidR="002D4410" w:rsidRPr="001366C9">
          <w:rPr>
            <w:szCs w:val="22"/>
          </w:rPr>
          <w:fldChar w:fldCharType="end"/>
        </w:r>
        <w:r w:rsidR="002D4410" w:rsidRPr="001366C9">
          <w:rPr>
            <w:szCs w:val="22"/>
          </w:rPr>
          <w:t>/</w:t>
        </w:r>
        <w:r w:rsidR="002D4410" w:rsidRPr="001366C9">
          <w:rPr>
            <w:szCs w:val="22"/>
          </w:rPr>
          <w:fldChar w:fldCharType="begin"/>
        </w:r>
        <w:r w:rsidR="002D4410" w:rsidRPr="001366C9">
          <w:rPr>
            <w:szCs w:val="22"/>
          </w:rPr>
          <w:instrText xml:space="preserve"> NUMPAGES  </w:instrText>
        </w:r>
        <w:r w:rsidR="002D4410" w:rsidRPr="001366C9">
          <w:rPr>
            <w:szCs w:val="22"/>
          </w:rPr>
          <w:fldChar w:fldCharType="separate"/>
        </w:r>
        <w:r w:rsidR="002D4410" w:rsidRPr="001366C9">
          <w:rPr>
            <w:szCs w:val="22"/>
          </w:rPr>
          <w:t>18</w:t>
        </w:r>
        <w:r w:rsidR="002D4410" w:rsidRPr="001366C9">
          <w:rPr>
            <w:szCs w:val="22"/>
          </w:rPr>
          <w:fldChar w:fldCharType="end"/>
        </w:r>
      </w:p>
    </w:sdtContent>
  </w:sdt>
  <w:bookmarkEnd w:id="10" w:displacedByCustomXml="prev"/>
  <w:bookmarkEnd w:id="11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1E409" w14:textId="77777777" w:rsidR="004E6CEA" w:rsidRDefault="00240F72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608E8" w14:textId="77777777"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9620" w14:textId="77777777" w:rsidR="00240F72" w:rsidRDefault="00240F72">
      <w:r>
        <w:separator/>
      </w:r>
    </w:p>
  </w:footnote>
  <w:footnote w:type="continuationSeparator" w:id="0">
    <w:p w14:paraId="50103044" w14:textId="77777777" w:rsidR="00240F72" w:rsidRDefault="0024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2" w15:restartNumberingAfterBreak="0">
    <w:nsid w:val="07B13C6A"/>
    <w:multiLevelType w:val="hybridMultilevel"/>
    <w:tmpl w:val="E6DAC0B8"/>
    <w:lvl w:ilvl="0" w:tplc="B464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E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966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A2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24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0B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9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1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A4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EE92953"/>
    <w:multiLevelType w:val="hybridMultilevel"/>
    <w:tmpl w:val="2FFE6E52"/>
    <w:lvl w:ilvl="0" w:tplc="FB24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64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8E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CF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0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89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6D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E9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4A6844E8"/>
    <w:multiLevelType w:val="hybridMultilevel"/>
    <w:tmpl w:val="D9588728"/>
    <w:lvl w:ilvl="0" w:tplc="9126C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48AE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E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8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8A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C2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4F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69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85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6C720D5F"/>
    <w:multiLevelType w:val="hybridMultilevel"/>
    <w:tmpl w:val="0080722C"/>
    <w:lvl w:ilvl="0" w:tplc="9E6E7DB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ACDE3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4F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A4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EB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68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C9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06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AD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2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56"/>
    <w:rsid w:val="000032F8"/>
    <w:rsid w:val="00043298"/>
    <w:rsid w:val="000B5B7C"/>
    <w:rsid w:val="000C2CC6"/>
    <w:rsid w:val="000D5795"/>
    <w:rsid w:val="001159C4"/>
    <w:rsid w:val="001366C9"/>
    <w:rsid w:val="001A285B"/>
    <w:rsid w:val="001B373D"/>
    <w:rsid w:val="001C2A89"/>
    <w:rsid w:val="001E0E8E"/>
    <w:rsid w:val="001E2EF2"/>
    <w:rsid w:val="001E5FBD"/>
    <w:rsid w:val="001F451B"/>
    <w:rsid w:val="001F46AE"/>
    <w:rsid w:val="002341BE"/>
    <w:rsid w:val="00240F72"/>
    <w:rsid w:val="002431DA"/>
    <w:rsid w:val="0028534A"/>
    <w:rsid w:val="00291EE9"/>
    <w:rsid w:val="002A22F6"/>
    <w:rsid w:val="002A5AAA"/>
    <w:rsid w:val="002A643A"/>
    <w:rsid w:val="002C364F"/>
    <w:rsid w:val="002C6DA6"/>
    <w:rsid w:val="002D4410"/>
    <w:rsid w:val="002E53FD"/>
    <w:rsid w:val="002E768E"/>
    <w:rsid w:val="002F2946"/>
    <w:rsid w:val="002F7BF9"/>
    <w:rsid w:val="00335028"/>
    <w:rsid w:val="00360C92"/>
    <w:rsid w:val="00381A5C"/>
    <w:rsid w:val="00391175"/>
    <w:rsid w:val="003C0C08"/>
    <w:rsid w:val="003C3EA4"/>
    <w:rsid w:val="003F72BA"/>
    <w:rsid w:val="00450529"/>
    <w:rsid w:val="00461F98"/>
    <w:rsid w:val="00470103"/>
    <w:rsid w:val="004B0391"/>
    <w:rsid w:val="004B2302"/>
    <w:rsid w:val="004D2BC1"/>
    <w:rsid w:val="004E4253"/>
    <w:rsid w:val="004E6CEA"/>
    <w:rsid w:val="004F3552"/>
    <w:rsid w:val="004F7767"/>
    <w:rsid w:val="00512D1C"/>
    <w:rsid w:val="00567B8C"/>
    <w:rsid w:val="00570D74"/>
    <w:rsid w:val="00576D45"/>
    <w:rsid w:val="005B0255"/>
    <w:rsid w:val="005B6013"/>
    <w:rsid w:val="005D18EB"/>
    <w:rsid w:val="005D6D73"/>
    <w:rsid w:val="00647DA5"/>
    <w:rsid w:val="00667160"/>
    <w:rsid w:val="006762A7"/>
    <w:rsid w:val="00684AFE"/>
    <w:rsid w:val="006A3CFF"/>
    <w:rsid w:val="006B626E"/>
    <w:rsid w:val="006D78DE"/>
    <w:rsid w:val="006F2749"/>
    <w:rsid w:val="0073661F"/>
    <w:rsid w:val="00741291"/>
    <w:rsid w:val="0075750D"/>
    <w:rsid w:val="00782B2B"/>
    <w:rsid w:val="007C6CDE"/>
    <w:rsid w:val="007D32DF"/>
    <w:rsid w:val="007F157B"/>
    <w:rsid w:val="00800F9A"/>
    <w:rsid w:val="008537CE"/>
    <w:rsid w:val="00892B7B"/>
    <w:rsid w:val="008B6898"/>
    <w:rsid w:val="008C2D19"/>
    <w:rsid w:val="008D37DC"/>
    <w:rsid w:val="008E38FF"/>
    <w:rsid w:val="008E4FFC"/>
    <w:rsid w:val="00926D1B"/>
    <w:rsid w:val="00927BD0"/>
    <w:rsid w:val="00951297"/>
    <w:rsid w:val="009575A8"/>
    <w:rsid w:val="00984DE4"/>
    <w:rsid w:val="00A44461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806CA"/>
    <w:rsid w:val="00BA0187"/>
    <w:rsid w:val="00BC3B6E"/>
    <w:rsid w:val="00BE5CB6"/>
    <w:rsid w:val="00BF4DCC"/>
    <w:rsid w:val="00C37155"/>
    <w:rsid w:val="00C4182E"/>
    <w:rsid w:val="00C56955"/>
    <w:rsid w:val="00C77EE2"/>
    <w:rsid w:val="00CE2C1A"/>
    <w:rsid w:val="00CE44BB"/>
    <w:rsid w:val="00D05B55"/>
    <w:rsid w:val="00D2321B"/>
    <w:rsid w:val="00D94C91"/>
    <w:rsid w:val="00DC52ED"/>
    <w:rsid w:val="00E24A55"/>
    <w:rsid w:val="00E2580B"/>
    <w:rsid w:val="00E5228D"/>
    <w:rsid w:val="00E7420D"/>
    <w:rsid w:val="00E84F1C"/>
    <w:rsid w:val="00E857E0"/>
    <w:rsid w:val="00EB7B4C"/>
    <w:rsid w:val="00EC2DBE"/>
    <w:rsid w:val="00F1534D"/>
    <w:rsid w:val="00F4602D"/>
    <w:rsid w:val="00F73F56"/>
    <w:rsid w:val="00FA5D79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E7DB0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33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enzana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traecoxpoerien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enzana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3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6614</Words>
  <Characters>37701</Characters>
  <Application>Microsoft Office Word</Application>
  <DocSecurity>0</DocSecurity>
  <Lines>314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44227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Edi Akilić</cp:lastModifiedBy>
  <cp:revision>2</cp:revision>
  <dcterms:created xsi:type="dcterms:W3CDTF">2026-01-02T08:05:00Z</dcterms:created>
  <dcterms:modified xsi:type="dcterms:W3CDTF">2026-01-02T08:05:00Z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