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28" w:rsidRDefault="004B2428" w:rsidP="008045BC"/>
    <w:tbl>
      <w:tblPr>
        <w:tblW w:w="3874" w:type="pct"/>
        <w:jc w:val="center"/>
        <w:tblLook w:val="04A0" w:firstRow="1" w:lastRow="0" w:firstColumn="1" w:lastColumn="0" w:noHBand="0" w:noVBand="1"/>
      </w:tblPr>
      <w:tblGrid>
        <w:gridCol w:w="3618"/>
        <w:gridCol w:w="3340"/>
      </w:tblGrid>
      <w:tr w:rsidR="008045BC" w:rsidRPr="007D04F7" w:rsidTr="00260614">
        <w:trPr>
          <w:trHeight w:val="316"/>
          <w:jc w:val="center"/>
        </w:trPr>
        <w:tc>
          <w:tcPr>
            <w:tcW w:w="2600" w:type="pct"/>
            <w:tcBorders>
              <w:top w:val="double" w:sz="6" w:space="0" w:color="auto"/>
              <w:left w:val="double" w:sz="6" w:space="0" w:color="auto"/>
              <w:bottom w:val="single" w:sz="4" w:space="0" w:color="auto"/>
              <w:right w:val="double" w:sz="6" w:space="0" w:color="auto"/>
            </w:tcBorders>
            <w:shd w:val="clear" w:color="auto" w:fill="auto"/>
            <w:noWrap/>
            <w:vAlign w:val="bottom"/>
            <w:hideMark/>
          </w:tcPr>
          <w:p w:rsidR="008045BC" w:rsidRPr="007D04F7" w:rsidRDefault="008045BC" w:rsidP="005A536A">
            <w:pPr>
              <w:rPr>
                <w:rFonts w:ascii="Calibri" w:hAnsi="Calibri" w:cs="Calibri"/>
                <w:color w:val="000000"/>
                <w:szCs w:val="22"/>
              </w:rPr>
            </w:pPr>
            <w:r w:rsidRPr="007D04F7">
              <w:rPr>
                <w:rFonts w:ascii="Calibri" w:hAnsi="Calibri" w:cs="Calibri"/>
                <w:color w:val="000000"/>
                <w:szCs w:val="22"/>
              </w:rPr>
              <w:t>Sjedište obveznika</w:t>
            </w:r>
          </w:p>
        </w:tc>
        <w:tc>
          <w:tcPr>
            <w:tcW w:w="2400" w:type="pct"/>
            <w:tcBorders>
              <w:top w:val="double" w:sz="6" w:space="0" w:color="auto"/>
              <w:left w:val="nil"/>
              <w:bottom w:val="single" w:sz="4" w:space="0" w:color="auto"/>
              <w:right w:val="double" w:sz="6" w:space="0" w:color="auto"/>
            </w:tcBorders>
            <w:shd w:val="clear" w:color="auto" w:fill="auto"/>
            <w:noWrap/>
            <w:vAlign w:val="bottom"/>
            <w:hideMark/>
          </w:tcPr>
          <w:p w:rsidR="008045BC" w:rsidRPr="007D04F7" w:rsidRDefault="008045BC" w:rsidP="00260614">
            <w:pPr>
              <w:jc w:val="left"/>
              <w:rPr>
                <w:rFonts w:ascii="Calibri" w:hAnsi="Calibri" w:cs="Calibri"/>
                <w:b/>
                <w:bCs/>
                <w:color w:val="000000"/>
                <w:szCs w:val="24"/>
              </w:rPr>
            </w:pPr>
            <w:r w:rsidRPr="007D04F7">
              <w:rPr>
                <w:rFonts w:ascii="Calibri" w:hAnsi="Calibri" w:cs="Calibri"/>
                <w:b/>
                <w:bCs/>
                <w:color w:val="000000"/>
                <w:szCs w:val="24"/>
              </w:rPr>
              <w:t>Pazin</w:t>
            </w:r>
          </w:p>
        </w:tc>
      </w:tr>
      <w:tr w:rsidR="008045BC" w:rsidRPr="007D04F7" w:rsidTr="00260614">
        <w:trPr>
          <w:trHeight w:val="302"/>
          <w:jc w:val="center"/>
        </w:trPr>
        <w:tc>
          <w:tcPr>
            <w:tcW w:w="2600" w:type="pct"/>
            <w:tcBorders>
              <w:top w:val="nil"/>
              <w:left w:val="double" w:sz="6" w:space="0" w:color="auto"/>
              <w:bottom w:val="single" w:sz="4" w:space="0" w:color="auto"/>
              <w:right w:val="double" w:sz="6" w:space="0" w:color="auto"/>
            </w:tcBorders>
            <w:shd w:val="clear" w:color="auto" w:fill="auto"/>
            <w:noWrap/>
            <w:vAlign w:val="bottom"/>
            <w:hideMark/>
          </w:tcPr>
          <w:p w:rsidR="008045BC" w:rsidRPr="007D04F7" w:rsidRDefault="008045BC" w:rsidP="005A536A">
            <w:pPr>
              <w:rPr>
                <w:rFonts w:ascii="Calibri" w:hAnsi="Calibri" w:cs="Calibri"/>
                <w:color w:val="000000"/>
                <w:szCs w:val="22"/>
              </w:rPr>
            </w:pPr>
            <w:r w:rsidRPr="007D04F7">
              <w:rPr>
                <w:rFonts w:ascii="Calibri" w:hAnsi="Calibri" w:cs="Calibri"/>
                <w:color w:val="000000"/>
                <w:szCs w:val="22"/>
              </w:rPr>
              <w:t>Adresa sjedišta obveznika</w:t>
            </w:r>
          </w:p>
        </w:tc>
        <w:tc>
          <w:tcPr>
            <w:tcW w:w="2400" w:type="pct"/>
            <w:tcBorders>
              <w:top w:val="nil"/>
              <w:left w:val="nil"/>
              <w:bottom w:val="single" w:sz="4" w:space="0" w:color="auto"/>
              <w:right w:val="double" w:sz="6" w:space="0" w:color="auto"/>
            </w:tcBorders>
            <w:shd w:val="clear" w:color="auto" w:fill="auto"/>
            <w:noWrap/>
            <w:vAlign w:val="bottom"/>
            <w:hideMark/>
          </w:tcPr>
          <w:p w:rsidR="008045BC" w:rsidRPr="007D04F7" w:rsidRDefault="008045BC" w:rsidP="00260614">
            <w:pPr>
              <w:jc w:val="left"/>
              <w:rPr>
                <w:rFonts w:ascii="Calibri" w:hAnsi="Calibri" w:cs="Calibri"/>
                <w:b/>
                <w:bCs/>
                <w:color w:val="000000"/>
                <w:szCs w:val="24"/>
              </w:rPr>
            </w:pPr>
            <w:proofErr w:type="spellStart"/>
            <w:r w:rsidRPr="007D04F7">
              <w:rPr>
                <w:rFonts w:ascii="Calibri" w:hAnsi="Calibri" w:cs="Calibri"/>
                <w:b/>
                <w:bCs/>
                <w:color w:val="000000"/>
                <w:szCs w:val="24"/>
              </w:rPr>
              <w:t>Dršćevka</w:t>
            </w:r>
            <w:proofErr w:type="spellEnd"/>
            <w:r w:rsidRPr="007D04F7">
              <w:rPr>
                <w:rFonts w:ascii="Calibri" w:hAnsi="Calibri" w:cs="Calibri"/>
                <w:b/>
                <w:bCs/>
                <w:color w:val="000000"/>
                <w:szCs w:val="24"/>
              </w:rPr>
              <w:t xml:space="preserve"> 3</w:t>
            </w:r>
          </w:p>
        </w:tc>
      </w:tr>
      <w:tr w:rsidR="008045BC" w:rsidRPr="007D04F7" w:rsidTr="00260614">
        <w:trPr>
          <w:trHeight w:val="302"/>
          <w:jc w:val="center"/>
        </w:trPr>
        <w:tc>
          <w:tcPr>
            <w:tcW w:w="2600" w:type="pct"/>
            <w:tcBorders>
              <w:top w:val="nil"/>
              <w:left w:val="double" w:sz="6" w:space="0" w:color="auto"/>
              <w:bottom w:val="single" w:sz="4" w:space="0" w:color="auto"/>
              <w:right w:val="double" w:sz="6" w:space="0" w:color="auto"/>
            </w:tcBorders>
            <w:shd w:val="clear" w:color="auto" w:fill="auto"/>
            <w:noWrap/>
            <w:vAlign w:val="bottom"/>
            <w:hideMark/>
          </w:tcPr>
          <w:p w:rsidR="008045BC" w:rsidRPr="007D04F7" w:rsidRDefault="008045BC" w:rsidP="005A536A">
            <w:pPr>
              <w:rPr>
                <w:rFonts w:ascii="Calibri" w:hAnsi="Calibri" w:cs="Calibri"/>
                <w:color w:val="000000"/>
                <w:szCs w:val="22"/>
              </w:rPr>
            </w:pPr>
            <w:r w:rsidRPr="007D04F7">
              <w:rPr>
                <w:rFonts w:ascii="Calibri" w:hAnsi="Calibri" w:cs="Calibri"/>
                <w:color w:val="000000"/>
                <w:szCs w:val="22"/>
              </w:rPr>
              <w:t>OIB</w:t>
            </w:r>
          </w:p>
        </w:tc>
        <w:tc>
          <w:tcPr>
            <w:tcW w:w="2400" w:type="pct"/>
            <w:tcBorders>
              <w:top w:val="nil"/>
              <w:left w:val="nil"/>
              <w:bottom w:val="single" w:sz="4" w:space="0" w:color="auto"/>
              <w:right w:val="double" w:sz="6" w:space="0" w:color="auto"/>
            </w:tcBorders>
            <w:shd w:val="clear" w:color="auto" w:fill="auto"/>
            <w:noWrap/>
            <w:vAlign w:val="bottom"/>
            <w:hideMark/>
          </w:tcPr>
          <w:p w:rsidR="008045BC" w:rsidRPr="007D04F7" w:rsidRDefault="008045BC" w:rsidP="00260614">
            <w:pPr>
              <w:jc w:val="left"/>
              <w:rPr>
                <w:rFonts w:ascii="Calibri" w:hAnsi="Calibri" w:cs="Calibri"/>
                <w:b/>
                <w:bCs/>
                <w:color w:val="000000"/>
                <w:szCs w:val="24"/>
              </w:rPr>
            </w:pPr>
            <w:r w:rsidRPr="007D04F7">
              <w:rPr>
                <w:rFonts w:ascii="Calibri" w:hAnsi="Calibri" w:cs="Calibri"/>
                <w:b/>
                <w:bCs/>
                <w:color w:val="000000"/>
                <w:szCs w:val="24"/>
              </w:rPr>
              <w:t>90017522601</w:t>
            </w:r>
          </w:p>
        </w:tc>
      </w:tr>
      <w:tr w:rsidR="008045BC" w:rsidRPr="007D04F7" w:rsidTr="00260614">
        <w:trPr>
          <w:trHeight w:val="302"/>
          <w:jc w:val="center"/>
        </w:trPr>
        <w:tc>
          <w:tcPr>
            <w:tcW w:w="2600" w:type="pct"/>
            <w:tcBorders>
              <w:top w:val="nil"/>
              <w:left w:val="double" w:sz="6" w:space="0" w:color="auto"/>
              <w:bottom w:val="single" w:sz="4" w:space="0" w:color="auto"/>
              <w:right w:val="double" w:sz="6" w:space="0" w:color="auto"/>
            </w:tcBorders>
            <w:shd w:val="clear" w:color="auto" w:fill="auto"/>
            <w:noWrap/>
            <w:vAlign w:val="bottom"/>
            <w:hideMark/>
          </w:tcPr>
          <w:p w:rsidR="008045BC" w:rsidRPr="007D04F7" w:rsidRDefault="008045BC" w:rsidP="005A536A">
            <w:pPr>
              <w:rPr>
                <w:rFonts w:ascii="Calibri" w:hAnsi="Calibri" w:cs="Calibri"/>
                <w:color w:val="000000"/>
                <w:szCs w:val="22"/>
              </w:rPr>
            </w:pPr>
            <w:r w:rsidRPr="007D04F7">
              <w:rPr>
                <w:rFonts w:ascii="Calibri" w:hAnsi="Calibri" w:cs="Calibri"/>
                <w:color w:val="000000"/>
                <w:szCs w:val="22"/>
              </w:rPr>
              <w:t>Broj RKP-A</w:t>
            </w:r>
          </w:p>
        </w:tc>
        <w:tc>
          <w:tcPr>
            <w:tcW w:w="2400" w:type="pct"/>
            <w:tcBorders>
              <w:top w:val="nil"/>
              <w:left w:val="nil"/>
              <w:bottom w:val="single" w:sz="4" w:space="0" w:color="auto"/>
              <w:right w:val="double" w:sz="6" w:space="0" w:color="auto"/>
            </w:tcBorders>
            <w:shd w:val="clear" w:color="auto" w:fill="auto"/>
            <w:noWrap/>
            <w:vAlign w:val="bottom"/>
            <w:hideMark/>
          </w:tcPr>
          <w:p w:rsidR="008045BC" w:rsidRPr="007D04F7" w:rsidRDefault="008045BC" w:rsidP="00260614">
            <w:pPr>
              <w:jc w:val="left"/>
              <w:rPr>
                <w:rFonts w:ascii="Calibri" w:hAnsi="Calibri" w:cs="Calibri"/>
                <w:b/>
                <w:bCs/>
                <w:color w:val="000000"/>
                <w:szCs w:val="24"/>
              </w:rPr>
            </w:pPr>
            <w:r w:rsidRPr="007D04F7">
              <w:rPr>
                <w:rFonts w:ascii="Calibri" w:hAnsi="Calibri" w:cs="Calibri"/>
                <w:b/>
                <w:bCs/>
                <w:color w:val="000000"/>
                <w:szCs w:val="24"/>
              </w:rPr>
              <w:t>36389</w:t>
            </w:r>
          </w:p>
        </w:tc>
      </w:tr>
      <w:tr w:rsidR="008045BC" w:rsidRPr="007D04F7" w:rsidTr="00260614">
        <w:trPr>
          <w:trHeight w:val="302"/>
          <w:jc w:val="center"/>
        </w:trPr>
        <w:tc>
          <w:tcPr>
            <w:tcW w:w="2600" w:type="pct"/>
            <w:tcBorders>
              <w:top w:val="nil"/>
              <w:left w:val="double" w:sz="6" w:space="0" w:color="auto"/>
              <w:bottom w:val="single" w:sz="4" w:space="0" w:color="auto"/>
              <w:right w:val="double" w:sz="6" w:space="0" w:color="auto"/>
            </w:tcBorders>
            <w:shd w:val="clear" w:color="auto" w:fill="auto"/>
            <w:noWrap/>
            <w:vAlign w:val="bottom"/>
            <w:hideMark/>
          </w:tcPr>
          <w:p w:rsidR="008045BC" w:rsidRPr="007D04F7" w:rsidRDefault="008045BC" w:rsidP="005A536A">
            <w:pPr>
              <w:rPr>
                <w:rFonts w:ascii="Calibri" w:hAnsi="Calibri" w:cs="Calibri"/>
                <w:color w:val="000000"/>
                <w:szCs w:val="22"/>
              </w:rPr>
            </w:pPr>
            <w:r w:rsidRPr="007D04F7">
              <w:rPr>
                <w:rFonts w:ascii="Calibri" w:hAnsi="Calibri" w:cs="Calibri"/>
                <w:color w:val="000000"/>
                <w:szCs w:val="22"/>
              </w:rPr>
              <w:t>Matični broj</w:t>
            </w:r>
          </w:p>
        </w:tc>
        <w:tc>
          <w:tcPr>
            <w:tcW w:w="2400" w:type="pct"/>
            <w:tcBorders>
              <w:top w:val="nil"/>
              <w:left w:val="nil"/>
              <w:bottom w:val="single" w:sz="4" w:space="0" w:color="auto"/>
              <w:right w:val="double" w:sz="6" w:space="0" w:color="auto"/>
            </w:tcBorders>
            <w:shd w:val="clear" w:color="auto" w:fill="auto"/>
            <w:noWrap/>
            <w:vAlign w:val="bottom"/>
            <w:hideMark/>
          </w:tcPr>
          <w:p w:rsidR="008045BC" w:rsidRPr="007D04F7" w:rsidRDefault="008045BC" w:rsidP="00260614">
            <w:pPr>
              <w:jc w:val="left"/>
              <w:rPr>
                <w:rFonts w:ascii="Calibri" w:hAnsi="Calibri" w:cs="Calibri"/>
                <w:b/>
                <w:bCs/>
                <w:color w:val="000000"/>
                <w:szCs w:val="24"/>
              </w:rPr>
            </w:pPr>
            <w:r w:rsidRPr="007D04F7">
              <w:rPr>
                <w:rFonts w:ascii="Calibri" w:hAnsi="Calibri" w:cs="Calibri"/>
                <w:b/>
                <w:bCs/>
                <w:color w:val="000000"/>
                <w:szCs w:val="24"/>
              </w:rPr>
              <w:t>02544474</w:t>
            </w:r>
          </w:p>
        </w:tc>
      </w:tr>
      <w:tr w:rsidR="008045BC" w:rsidRPr="007D04F7" w:rsidTr="00260614">
        <w:trPr>
          <w:trHeight w:val="302"/>
          <w:jc w:val="center"/>
        </w:trPr>
        <w:tc>
          <w:tcPr>
            <w:tcW w:w="2600" w:type="pct"/>
            <w:tcBorders>
              <w:top w:val="nil"/>
              <w:left w:val="double" w:sz="6" w:space="0" w:color="auto"/>
              <w:bottom w:val="single" w:sz="4" w:space="0" w:color="auto"/>
              <w:right w:val="double" w:sz="6" w:space="0" w:color="auto"/>
            </w:tcBorders>
            <w:shd w:val="clear" w:color="auto" w:fill="auto"/>
            <w:noWrap/>
            <w:vAlign w:val="bottom"/>
            <w:hideMark/>
          </w:tcPr>
          <w:p w:rsidR="008045BC" w:rsidRPr="007D04F7" w:rsidRDefault="008045BC" w:rsidP="005A536A">
            <w:pPr>
              <w:rPr>
                <w:rFonts w:ascii="Calibri" w:hAnsi="Calibri" w:cs="Calibri"/>
                <w:color w:val="000000"/>
                <w:szCs w:val="22"/>
              </w:rPr>
            </w:pPr>
            <w:r w:rsidRPr="007D04F7">
              <w:rPr>
                <w:rFonts w:ascii="Calibri" w:hAnsi="Calibri" w:cs="Calibri"/>
                <w:color w:val="000000"/>
                <w:szCs w:val="22"/>
              </w:rPr>
              <w:t>Razina</w:t>
            </w:r>
          </w:p>
        </w:tc>
        <w:tc>
          <w:tcPr>
            <w:tcW w:w="2400" w:type="pct"/>
            <w:tcBorders>
              <w:top w:val="nil"/>
              <w:left w:val="nil"/>
              <w:bottom w:val="single" w:sz="4" w:space="0" w:color="auto"/>
              <w:right w:val="double" w:sz="6" w:space="0" w:color="auto"/>
            </w:tcBorders>
            <w:shd w:val="clear" w:color="auto" w:fill="auto"/>
            <w:noWrap/>
            <w:vAlign w:val="bottom"/>
            <w:hideMark/>
          </w:tcPr>
          <w:p w:rsidR="008045BC" w:rsidRPr="007D04F7" w:rsidRDefault="008045BC" w:rsidP="00260614">
            <w:pPr>
              <w:jc w:val="left"/>
              <w:rPr>
                <w:rFonts w:ascii="Calibri" w:hAnsi="Calibri" w:cs="Calibri"/>
                <w:b/>
                <w:bCs/>
                <w:color w:val="000000"/>
                <w:szCs w:val="24"/>
              </w:rPr>
            </w:pPr>
            <w:r w:rsidRPr="007D04F7">
              <w:rPr>
                <w:rFonts w:ascii="Calibri" w:hAnsi="Calibri" w:cs="Calibri"/>
                <w:b/>
                <w:bCs/>
                <w:color w:val="000000"/>
                <w:szCs w:val="24"/>
              </w:rPr>
              <w:t>22</w:t>
            </w:r>
          </w:p>
        </w:tc>
      </w:tr>
      <w:tr w:rsidR="008045BC" w:rsidRPr="007D04F7" w:rsidTr="00260614">
        <w:trPr>
          <w:trHeight w:val="302"/>
          <w:jc w:val="center"/>
        </w:trPr>
        <w:tc>
          <w:tcPr>
            <w:tcW w:w="2600" w:type="pct"/>
            <w:tcBorders>
              <w:top w:val="nil"/>
              <w:left w:val="double" w:sz="6" w:space="0" w:color="auto"/>
              <w:bottom w:val="single" w:sz="4" w:space="0" w:color="auto"/>
              <w:right w:val="double" w:sz="6" w:space="0" w:color="auto"/>
            </w:tcBorders>
            <w:shd w:val="clear" w:color="auto" w:fill="auto"/>
            <w:noWrap/>
            <w:vAlign w:val="bottom"/>
            <w:hideMark/>
          </w:tcPr>
          <w:p w:rsidR="008045BC" w:rsidRPr="007D04F7" w:rsidRDefault="008045BC" w:rsidP="005A536A">
            <w:pPr>
              <w:rPr>
                <w:rFonts w:ascii="Calibri" w:hAnsi="Calibri" w:cs="Calibri"/>
                <w:color w:val="000000"/>
                <w:szCs w:val="22"/>
              </w:rPr>
            </w:pPr>
            <w:r w:rsidRPr="007D04F7">
              <w:rPr>
                <w:rFonts w:ascii="Calibri" w:hAnsi="Calibri" w:cs="Calibri"/>
                <w:color w:val="000000"/>
                <w:szCs w:val="22"/>
              </w:rPr>
              <w:t>Šifra djelatnosti prema NKD-u 2007</w:t>
            </w:r>
          </w:p>
        </w:tc>
        <w:tc>
          <w:tcPr>
            <w:tcW w:w="2400" w:type="pct"/>
            <w:tcBorders>
              <w:top w:val="nil"/>
              <w:left w:val="nil"/>
              <w:bottom w:val="single" w:sz="4" w:space="0" w:color="auto"/>
              <w:right w:val="double" w:sz="6" w:space="0" w:color="auto"/>
            </w:tcBorders>
            <w:shd w:val="clear" w:color="auto" w:fill="auto"/>
            <w:noWrap/>
            <w:vAlign w:val="bottom"/>
            <w:hideMark/>
          </w:tcPr>
          <w:p w:rsidR="008045BC" w:rsidRPr="007D04F7" w:rsidRDefault="008045BC" w:rsidP="00260614">
            <w:pPr>
              <w:jc w:val="left"/>
              <w:rPr>
                <w:rFonts w:ascii="Calibri" w:hAnsi="Calibri" w:cs="Calibri"/>
                <w:b/>
                <w:bCs/>
                <w:color w:val="000000"/>
                <w:szCs w:val="24"/>
              </w:rPr>
            </w:pPr>
            <w:r w:rsidRPr="007D04F7">
              <w:rPr>
                <w:rFonts w:ascii="Calibri" w:hAnsi="Calibri" w:cs="Calibri"/>
                <w:b/>
                <w:bCs/>
                <w:color w:val="000000"/>
                <w:szCs w:val="24"/>
              </w:rPr>
              <w:t>8411 - Opće djelatnosti uprave</w:t>
            </w:r>
          </w:p>
        </w:tc>
      </w:tr>
      <w:tr w:rsidR="008045BC" w:rsidRPr="007D04F7" w:rsidTr="00260614">
        <w:trPr>
          <w:trHeight w:val="316"/>
          <w:jc w:val="center"/>
        </w:trPr>
        <w:tc>
          <w:tcPr>
            <w:tcW w:w="2600" w:type="pct"/>
            <w:tcBorders>
              <w:top w:val="nil"/>
              <w:left w:val="double" w:sz="6" w:space="0" w:color="auto"/>
              <w:bottom w:val="double" w:sz="6" w:space="0" w:color="auto"/>
              <w:right w:val="double" w:sz="6" w:space="0" w:color="auto"/>
            </w:tcBorders>
            <w:shd w:val="clear" w:color="auto" w:fill="auto"/>
            <w:noWrap/>
            <w:vAlign w:val="bottom"/>
            <w:hideMark/>
          </w:tcPr>
          <w:p w:rsidR="008045BC" w:rsidRPr="007D04F7" w:rsidRDefault="008045BC" w:rsidP="005A536A">
            <w:pPr>
              <w:rPr>
                <w:rFonts w:ascii="Calibri" w:hAnsi="Calibri" w:cs="Calibri"/>
                <w:color w:val="000000"/>
                <w:szCs w:val="22"/>
              </w:rPr>
            </w:pPr>
            <w:r w:rsidRPr="007D04F7">
              <w:rPr>
                <w:rFonts w:ascii="Calibri" w:hAnsi="Calibri" w:cs="Calibri"/>
                <w:color w:val="000000"/>
                <w:szCs w:val="22"/>
              </w:rPr>
              <w:t>Šifra županije</w:t>
            </w:r>
          </w:p>
        </w:tc>
        <w:tc>
          <w:tcPr>
            <w:tcW w:w="2400" w:type="pct"/>
            <w:tcBorders>
              <w:top w:val="nil"/>
              <w:left w:val="nil"/>
              <w:bottom w:val="double" w:sz="6" w:space="0" w:color="auto"/>
              <w:right w:val="double" w:sz="6" w:space="0" w:color="auto"/>
            </w:tcBorders>
            <w:shd w:val="clear" w:color="auto" w:fill="auto"/>
            <w:noWrap/>
            <w:vAlign w:val="bottom"/>
            <w:hideMark/>
          </w:tcPr>
          <w:p w:rsidR="008045BC" w:rsidRPr="007D04F7" w:rsidRDefault="008045BC" w:rsidP="00260614">
            <w:pPr>
              <w:jc w:val="left"/>
              <w:rPr>
                <w:rFonts w:ascii="Calibri" w:hAnsi="Calibri" w:cs="Calibri"/>
                <w:b/>
                <w:bCs/>
                <w:color w:val="000000"/>
                <w:szCs w:val="24"/>
              </w:rPr>
            </w:pPr>
            <w:r w:rsidRPr="007D04F7">
              <w:rPr>
                <w:rFonts w:ascii="Calibri" w:hAnsi="Calibri" w:cs="Calibri"/>
                <w:b/>
                <w:bCs/>
                <w:color w:val="000000"/>
                <w:szCs w:val="24"/>
              </w:rPr>
              <w:t>XVIII</w:t>
            </w:r>
          </w:p>
        </w:tc>
      </w:tr>
    </w:tbl>
    <w:p w:rsidR="008045BC" w:rsidRDefault="008045BC" w:rsidP="008045BC"/>
    <w:p w:rsidR="008045BC" w:rsidRDefault="008045BC" w:rsidP="008045BC"/>
    <w:p w:rsidR="008045BC" w:rsidRPr="00E0682A" w:rsidRDefault="008045BC" w:rsidP="008045BC">
      <w:pPr>
        <w:jc w:val="center"/>
        <w:rPr>
          <w:b/>
        </w:rPr>
      </w:pPr>
      <w:r w:rsidRPr="00E0682A">
        <w:rPr>
          <w:b/>
        </w:rPr>
        <w:t>BILJEŠKE UZ FINANCIJSKE IZVJEŠTAJE</w:t>
      </w:r>
    </w:p>
    <w:p w:rsidR="008045BC" w:rsidRPr="00E0682A" w:rsidRDefault="008045BC" w:rsidP="008045BC">
      <w:pPr>
        <w:jc w:val="center"/>
        <w:rPr>
          <w:b/>
        </w:rPr>
      </w:pPr>
    </w:p>
    <w:p w:rsidR="008045BC" w:rsidRPr="00E0682A" w:rsidRDefault="008045BC" w:rsidP="008045BC">
      <w:pPr>
        <w:jc w:val="center"/>
        <w:rPr>
          <w:b/>
        </w:rPr>
      </w:pPr>
      <w:r w:rsidRPr="00E0682A">
        <w:rPr>
          <w:b/>
        </w:rPr>
        <w:t>za r</w:t>
      </w:r>
      <w:r>
        <w:rPr>
          <w:b/>
        </w:rPr>
        <w:t>azdoblje  od 01. siječnja do 31</w:t>
      </w:r>
      <w:r w:rsidRPr="00E0682A">
        <w:rPr>
          <w:b/>
        </w:rPr>
        <w:t>.</w:t>
      </w:r>
      <w:r>
        <w:rPr>
          <w:b/>
        </w:rPr>
        <w:t xml:space="preserve"> prosinca </w:t>
      </w:r>
      <w:r w:rsidRPr="00E0682A">
        <w:rPr>
          <w:b/>
        </w:rPr>
        <w:t>202</w:t>
      </w:r>
      <w:r w:rsidR="007A5480">
        <w:rPr>
          <w:b/>
        </w:rPr>
        <w:t>3</w:t>
      </w:r>
      <w:r>
        <w:rPr>
          <w:b/>
        </w:rPr>
        <w:t>.</w:t>
      </w:r>
    </w:p>
    <w:p w:rsidR="008045BC" w:rsidRDefault="008045BC" w:rsidP="008045BC"/>
    <w:p w:rsidR="008045BC" w:rsidRDefault="008045BC" w:rsidP="008045BC">
      <w:pPr>
        <w:rPr>
          <w:szCs w:val="24"/>
        </w:rPr>
      </w:pPr>
    </w:p>
    <w:p w:rsidR="008045BC" w:rsidRPr="00330E01" w:rsidRDefault="008045BC" w:rsidP="008045BC">
      <w:pPr>
        <w:rPr>
          <w:b/>
        </w:rPr>
      </w:pPr>
      <w:r w:rsidRPr="00330E01">
        <w:rPr>
          <w:b/>
        </w:rPr>
        <w:t>UVOD</w:t>
      </w:r>
    </w:p>
    <w:p w:rsidR="008045BC" w:rsidRPr="00330E01" w:rsidRDefault="008045BC" w:rsidP="008045BC">
      <w:pPr>
        <w:rPr>
          <w:b/>
        </w:rPr>
      </w:pPr>
    </w:p>
    <w:p w:rsidR="008045BC" w:rsidRDefault="008045BC" w:rsidP="008045BC">
      <w:pPr>
        <w:rPr>
          <w:b/>
        </w:rPr>
      </w:pPr>
      <w:r w:rsidRPr="00FE177B">
        <w:rPr>
          <w:b/>
        </w:rPr>
        <w:t>ZAKONODAVNI OKVIR</w:t>
      </w:r>
    </w:p>
    <w:p w:rsidR="008045BC" w:rsidRPr="00FE177B" w:rsidRDefault="008045BC" w:rsidP="008045BC">
      <w:pPr>
        <w:rPr>
          <w:b/>
        </w:rPr>
      </w:pPr>
    </w:p>
    <w:p w:rsidR="008045BC" w:rsidRPr="00FE177B" w:rsidRDefault="008045BC" w:rsidP="008045BC">
      <w:pPr>
        <w:numPr>
          <w:ilvl w:val="0"/>
          <w:numId w:val="22"/>
        </w:numPr>
      </w:pPr>
      <w:r w:rsidRPr="00FE177B">
        <w:t>Zakon o proračunu (Narodne novine</w:t>
      </w:r>
      <w:r w:rsidRPr="00330E01">
        <w:t xml:space="preserve"> </w:t>
      </w:r>
      <w:r>
        <w:t>144/21</w:t>
      </w:r>
      <w:r w:rsidRPr="00FE177B">
        <w:t>)</w:t>
      </w:r>
    </w:p>
    <w:p w:rsidR="008045BC" w:rsidRPr="00330E01" w:rsidRDefault="008045BC" w:rsidP="008045BC">
      <w:pPr>
        <w:numPr>
          <w:ilvl w:val="0"/>
          <w:numId w:val="22"/>
        </w:numPr>
      </w:pPr>
      <w:r w:rsidRPr="00FE177B">
        <w:t>Pravilnik o financijskom izvještavanju u proračunskom računovodstvu</w:t>
      </w:r>
      <w:r w:rsidRPr="00330E01">
        <w:t xml:space="preserve"> </w:t>
      </w:r>
      <w:r w:rsidRPr="00FE177B">
        <w:t>(Narodne novine</w:t>
      </w:r>
      <w:r>
        <w:t xml:space="preserve"> </w:t>
      </w:r>
      <w:r w:rsidRPr="00330E01">
        <w:t>37/22)</w:t>
      </w:r>
      <w:r w:rsidRPr="00FE177B">
        <w:t xml:space="preserve"> </w:t>
      </w:r>
    </w:p>
    <w:p w:rsidR="008045BC" w:rsidRPr="00FE177B" w:rsidRDefault="008045BC" w:rsidP="008045BC">
      <w:pPr>
        <w:numPr>
          <w:ilvl w:val="0"/>
          <w:numId w:val="22"/>
        </w:numPr>
      </w:pPr>
      <w:r w:rsidRPr="00FE177B">
        <w:t>Pravilnik o proračunskom računovodstvu i računskom planu (Narodne novine 124/14,115/15,87/16,3/18,126/19 i 108/20)</w:t>
      </w:r>
    </w:p>
    <w:p w:rsidR="008045BC" w:rsidRDefault="008045BC" w:rsidP="008045BC">
      <w:pPr>
        <w:numPr>
          <w:ilvl w:val="0"/>
          <w:numId w:val="22"/>
        </w:numPr>
      </w:pPr>
      <w:r w:rsidRPr="00FE177B">
        <w:t>Pravilnik o proračunskim klasifikacijama (Narodne novine 6/10,120/13 i 01/20)</w:t>
      </w:r>
    </w:p>
    <w:p w:rsidR="007A5480" w:rsidRPr="00FE177B" w:rsidRDefault="007A5480" w:rsidP="007A5480">
      <w:pPr>
        <w:numPr>
          <w:ilvl w:val="0"/>
          <w:numId w:val="22"/>
        </w:numPr>
      </w:pPr>
      <w:r>
        <w:t>Zakon o uvođenju eura kao službene valute u Republici Hrvatskoj (Narodne novine 57/22 i 88/22)</w:t>
      </w:r>
    </w:p>
    <w:p w:rsidR="008045BC" w:rsidRPr="00FE177B" w:rsidRDefault="008045BC" w:rsidP="008045BC">
      <w:pPr>
        <w:ind w:left="720"/>
        <w:rPr>
          <w:rFonts w:cs="Arial"/>
          <w:szCs w:val="24"/>
        </w:rPr>
      </w:pPr>
    </w:p>
    <w:p w:rsidR="008045BC" w:rsidRPr="00330E01" w:rsidRDefault="008045BC" w:rsidP="008045BC">
      <w:pPr>
        <w:rPr>
          <w:szCs w:val="22"/>
        </w:rPr>
      </w:pPr>
    </w:p>
    <w:p w:rsidR="008045BC" w:rsidRDefault="008045BC" w:rsidP="008045BC">
      <w:pPr>
        <w:rPr>
          <w:szCs w:val="22"/>
        </w:rPr>
      </w:pPr>
      <w:r>
        <w:rPr>
          <w:szCs w:val="22"/>
        </w:rPr>
        <w:t xml:space="preserve">Sukladno odredbama Pravilnika o </w:t>
      </w:r>
      <w:r w:rsidRPr="003538F2">
        <w:rPr>
          <w:szCs w:val="22"/>
        </w:rPr>
        <w:t>financijskom izvještavanju u proračunskom računovodstvu</w:t>
      </w:r>
      <w:r>
        <w:rPr>
          <w:szCs w:val="22"/>
        </w:rPr>
        <w:t xml:space="preserve"> </w:t>
      </w:r>
      <w:r w:rsidRPr="003538F2">
        <w:rPr>
          <w:szCs w:val="22"/>
        </w:rPr>
        <w:t>(</w:t>
      </w:r>
      <w:r w:rsidRPr="00DD2848">
        <w:rPr>
          <w:szCs w:val="22"/>
        </w:rPr>
        <w:t xml:space="preserve">NN </w:t>
      </w:r>
      <w:r>
        <w:rPr>
          <w:szCs w:val="22"/>
        </w:rPr>
        <w:t>37/22</w:t>
      </w:r>
      <w:r w:rsidRPr="003538F2">
        <w:rPr>
          <w:szCs w:val="22"/>
        </w:rPr>
        <w:t>) sastavljeni su financijski izvještaji Proračuna Istarske županije za razdoblje od 01. siječnja do 31. prosinca</w:t>
      </w:r>
      <w:r>
        <w:rPr>
          <w:szCs w:val="22"/>
        </w:rPr>
        <w:t xml:space="preserve"> 202</w:t>
      </w:r>
      <w:r w:rsidR="007A5480">
        <w:rPr>
          <w:szCs w:val="22"/>
        </w:rPr>
        <w:t>3</w:t>
      </w:r>
      <w:r w:rsidRPr="003538F2">
        <w:rPr>
          <w:szCs w:val="22"/>
        </w:rPr>
        <w:t xml:space="preserve">. godine i to: </w:t>
      </w:r>
    </w:p>
    <w:p w:rsidR="008045BC" w:rsidRDefault="008045BC" w:rsidP="008045BC">
      <w:pPr>
        <w:numPr>
          <w:ilvl w:val="0"/>
          <w:numId w:val="21"/>
        </w:numPr>
        <w:rPr>
          <w:szCs w:val="22"/>
        </w:rPr>
      </w:pPr>
      <w:r w:rsidRPr="003538F2">
        <w:rPr>
          <w:szCs w:val="22"/>
        </w:rPr>
        <w:t xml:space="preserve">Bilanca (Obrazac BIL), </w:t>
      </w:r>
    </w:p>
    <w:p w:rsidR="008045BC" w:rsidRDefault="008045BC" w:rsidP="008045BC">
      <w:pPr>
        <w:numPr>
          <w:ilvl w:val="0"/>
          <w:numId w:val="21"/>
        </w:numPr>
        <w:rPr>
          <w:szCs w:val="22"/>
        </w:rPr>
      </w:pPr>
      <w:r w:rsidRPr="003538F2">
        <w:rPr>
          <w:szCs w:val="22"/>
        </w:rPr>
        <w:t xml:space="preserve">Izvještaj o prihodima i rashodima, primicima i izdacima (Obrazac PR-RAS), </w:t>
      </w:r>
    </w:p>
    <w:p w:rsidR="008045BC" w:rsidRDefault="008045BC" w:rsidP="008045BC">
      <w:pPr>
        <w:numPr>
          <w:ilvl w:val="0"/>
          <w:numId w:val="21"/>
        </w:numPr>
        <w:rPr>
          <w:szCs w:val="22"/>
        </w:rPr>
      </w:pPr>
      <w:r w:rsidRPr="003538F2">
        <w:rPr>
          <w:szCs w:val="22"/>
        </w:rPr>
        <w:t xml:space="preserve">Izvještaj o rashodima  prema funkcijskoj klasifikaciji (Obrazac RAS-funkcijski),  </w:t>
      </w:r>
    </w:p>
    <w:p w:rsidR="008045BC" w:rsidRDefault="008045BC" w:rsidP="008045BC">
      <w:pPr>
        <w:numPr>
          <w:ilvl w:val="0"/>
          <w:numId w:val="21"/>
        </w:numPr>
        <w:rPr>
          <w:szCs w:val="22"/>
        </w:rPr>
      </w:pPr>
      <w:r w:rsidRPr="003538F2">
        <w:rPr>
          <w:szCs w:val="22"/>
        </w:rPr>
        <w:t>Izvještaj o promjenama u vrijednosti i o</w:t>
      </w:r>
      <w:r>
        <w:rPr>
          <w:szCs w:val="22"/>
        </w:rPr>
        <w:t>bujmu imovine (Obrazac P-VRIO)</w:t>
      </w:r>
    </w:p>
    <w:p w:rsidR="008045BC" w:rsidRPr="003538F2" w:rsidRDefault="008045BC" w:rsidP="008045BC">
      <w:pPr>
        <w:numPr>
          <w:ilvl w:val="0"/>
          <w:numId w:val="21"/>
        </w:numPr>
        <w:rPr>
          <w:szCs w:val="22"/>
        </w:rPr>
      </w:pPr>
      <w:r w:rsidRPr="003538F2">
        <w:rPr>
          <w:szCs w:val="22"/>
        </w:rPr>
        <w:t xml:space="preserve">Izvještaj o obvezama (Obrazac OBVEZE). </w:t>
      </w:r>
    </w:p>
    <w:p w:rsidR="008045BC" w:rsidRPr="003538F2" w:rsidRDefault="008045BC" w:rsidP="008045BC">
      <w:pPr>
        <w:rPr>
          <w:szCs w:val="22"/>
        </w:rPr>
      </w:pPr>
    </w:p>
    <w:p w:rsidR="008045BC" w:rsidRPr="003538F2" w:rsidRDefault="008045BC" w:rsidP="008045BC">
      <w:r w:rsidRPr="003538F2">
        <w:rPr>
          <w:szCs w:val="22"/>
        </w:rPr>
        <w:t>Navedeni obrasci su sastavljeni, sukladno Okružnici o sastavljanju, konsolidaciji i predaji financijskih izvještaja proračuna Ministarstva financija za razdoblje 1. siječnja do 31. prosinca</w:t>
      </w:r>
      <w:r>
        <w:rPr>
          <w:szCs w:val="22"/>
        </w:rPr>
        <w:t xml:space="preserve"> 202</w:t>
      </w:r>
      <w:r w:rsidR="007A5480">
        <w:rPr>
          <w:szCs w:val="22"/>
        </w:rPr>
        <w:t>3</w:t>
      </w:r>
      <w:r w:rsidRPr="003538F2">
        <w:rPr>
          <w:szCs w:val="22"/>
        </w:rPr>
        <w:t>.</w:t>
      </w:r>
      <w:r>
        <w:rPr>
          <w:szCs w:val="22"/>
        </w:rPr>
        <w:t xml:space="preserve"> </w:t>
      </w:r>
      <w:r w:rsidRPr="003538F2">
        <w:rPr>
          <w:szCs w:val="22"/>
        </w:rPr>
        <w:t xml:space="preserve">godine </w:t>
      </w:r>
      <w:r w:rsidR="00FE7686">
        <w:rPr>
          <w:szCs w:val="22"/>
        </w:rPr>
        <w:t>KLASA:</w:t>
      </w:r>
      <w:r w:rsidR="007A5480" w:rsidRPr="007A5480">
        <w:t xml:space="preserve"> </w:t>
      </w:r>
      <w:r w:rsidR="007A5480">
        <w:t>400-02/23-01/27</w:t>
      </w:r>
      <w:r>
        <w:rPr>
          <w:szCs w:val="22"/>
        </w:rPr>
        <w:t xml:space="preserve">, </w:t>
      </w:r>
      <w:r w:rsidRPr="00CA1475">
        <w:rPr>
          <w:szCs w:val="22"/>
        </w:rPr>
        <w:t>URBROJ: 513-05-03-2</w:t>
      </w:r>
      <w:r w:rsidR="007A5480">
        <w:rPr>
          <w:szCs w:val="22"/>
        </w:rPr>
        <w:t>4</w:t>
      </w:r>
      <w:r w:rsidRPr="00CA1475">
        <w:rPr>
          <w:szCs w:val="22"/>
        </w:rPr>
        <w:t>-</w:t>
      </w:r>
      <w:r w:rsidR="007A5480">
        <w:rPr>
          <w:szCs w:val="22"/>
        </w:rPr>
        <w:t>4</w:t>
      </w:r>
      <w:r w:rsidRPr="003538F2">
        <w:rPr>
          <w:szCs w:val="22"/>
        </w:rPr>
        <w:t xml:space="preserve"> od </w:t>
      </w:r>
      <w:r>
        <w:rPr>
          <w:szCs w:val="22"/>
        </w:rPr>
        <w:t>1</w:t>
      </w:r>
      <w:r w:rsidR="007A5480">
        <w:rPr>
          <w:szCs w:val="22"/>
        </w:rPr>
        <w:t>0</w:t>
      </w:r>
      <w:r w:rsidRPr="003538F2">
        <w:rPr>
          <w:szCs w:val="22"/>
        </w:rPr>
        <w:t>.</w:t>
      </w:r>
      <w:r>
        <w:rPr>
          <w:szCs w:val="22"/>
        </w:rPr>
        <w:t>siječnja 202</w:t>
      </w:r>
      <w:r w:rsidR="007A5480">
        <w:rPr>
          <w:szCs w:val="22"/>
        </w:rPr>
        <w:t>4</w:t>
      </w:r>
      <w:r w:rsidRPr="003538F2">
        <w:rPr>
          <w:szCs w:val="22"/>
        </w:rPr>
        <w:t>. godine te Okružnica iz prethodnih godina. P</w:t>
      </w:r>
      <w:r w:rsidRPr="003538F2">
        <w:t>ored izvještaja za Istarsku županiju, obrasci sadržavaju i izvještaje za Vijeća nacionalnih manjina i predstavnika.</w:t>
      </w:r>
    </w:p>
    <w:p w:rsidR="008045BC" w:rsidRPr="003538F2" w:rsidRDefault="008045BC" w:rsidP="008045BC">
      <w:pPr>
        <w:pStyle w:val="Default"/>
        <w:rPr>
          <w:rFonts w:ascii="Arial" w:hAnsi="Arial"/>
          <w:color w:val="auto"/>
          <w:sz w:val="22"/>
          <w:szCs w:val="22"/>
        </w:rPr>
      </w:pPr>
    </w:p>
    <w:p w:rsidR="008045BC" w:rsidRPr="003538F2" w:rsidRDefault="008045BC" w:rsidP="008045BC">
      <w:pPr>
        <w:rPr>
          <w:szCs w:val="22"/>
        </w:rPr>
      </w:pPr>
    </w:p>
    <w:p w:rsidR="008045BC" w:rsidRPr="003538F2" w:rsidRDefault="008045BC" w:rsidP="008045BC">
      <w:pPr>
        <w:rPr>
          <w:szCs w:val="22"/>
        </w:rPr>
      </w:pPr>
      <w:r w:rsidRPr="003538F2">
        <w:rPr>
          <w:szCs w:val="22"/>
        </w:rPr>
        <w:t>U nastavku dajemo bilješke uz navedene obrasce.</w:t>
      </w:r>
    </w:p>
    <w:p w:rsidR="008045BC" w:rsidRDefault="008045BC" w:rsidP="008045BC">
      <w:pPr>
        <w:rPr>
          <w:b/>
        </w:rPr>
      </w:pPr>
      <w:r w:rsidRPr="003538F2">
        <w:rPr>
          <w:b/>
        </w:rPr>
        <w:lastRenderedPageBreak/>
        <w:t xml:space="preserve">BILJEŠKE UZ BILANCU </w:t>
      </w:r>
    </w:p>
    <w:p w:rsidR="00856AD6" w:rsidRDefault="00856AD6" w:rsidP="008045BC">
      <w:pPr>
        <w:rPr>
          <w:b/>
        </w:rPr>
      </w:pPr>
    </w:p>
    <w:p w:rsidR="008045BC" w:rsidRPr="003538F2" w:rsidRDefault="008045BC" w:rsidP="008045BC"/>
    <w:p w:rsidR="008045BC" w:rsidRDefault="008045BC" w:rsidP="008045BC">
      <w:r w:rsidRPr="003538F2">
        <w:t>Vrijednost ukupne aktive (</w:t>
      </w:r>
      <w:r w:rsidR="00B57517">
        <w:t>Šifra B001</w:t>
      </w:r>
      <w:r w:rsidRPr="003538F2">
        <w:t>) na dan 31.12.20</w:t>
      </w:r>
      <w:r>
        <w:t>2</w:t>
      </w:r>
      <w:r w:rsidR="008A2017">
        <w:t>3</w:t>
      </w:r>
      <w:r w:rsidRPr="003538F2">
        <w:t xml:space="preserve">. iznosi </w:t>
      </w:r>
      <w:r w:rsidR="008A2017" w:rsidRPr="008A2017">
        <w:t>111.546.516,85</w:t>
      </w:r>
      <w:r w:rsidR="008A2017">
        <w:t xml:space="preserve">eur </w:t>
      </w:r>
      <w:r w:rsidRPr="003538F2">
        <w:t xml:space="preserve">i uvećana  je za </w:t>
      </w:r>
      <w:r w:rsidR="008A2017">
        <w:t>15,9</w:t>
      </w:r>
      <w:r w:rsidRPr="003538F2">
        <w:t>% u odnosu na 01.01.20</w:t>
      </w:r>
      <w:r>
        <w:t>2</w:t>
      </w:r>
      <w:r w:rsidR="008A2017">
        <w:t>3</w:t>
      </w:r>
      <w:r w:rsidRPr="003538F2">
        <w:t xml:space="preserve">. Istarska županija sudjeluje u ukupnoj imovini u iznosu od </w:t>
      </w:r>
      <w:r w:rsidR="008A2017" w:rsidRPr="008A2017">
        <w:t>111.526.086,00</w:t>
      </w:r>
      <w:r w:rsidR="008A2017">
        <w:t>eur</w:t>
      </w:r>
      <w:r>
        <w:t>,</w:t>
      </w:r>
      <w:r w:rsidRPr="003538F2">
        <w:t xml:space="preserve"> dok na Vijeća nacionalnih manjina otpada </w:t>
      </w:r>
      <w:r w:rsidR="008A2017">
        <w:t>20.430,85eur</w:t>
      </w:r>
      <w:r w:rsidRPr="003538F2">
        <w:t>.</w:t>
      </w:r>
    </w:p>
    <w:p w:rsidR="008045BC" w:rsidRDefault="008045BC" w:rsidP="008045BC"/>
    <w:p w:rsidR="008045BC" w:rsidRDefault="008045BC" w:rsidP="008045BC"/>
    <w:p w:rsidR="008045BC" w:rsidRDefault="008045BC" w:rsidP="008045BC">
      <w:pPr>
        <w:rPr>
          <w:b/>
        </w:rPr>
      </w:pPr>
      <w:r>
        <w:rPr>
          <w:b/>
        </w:rPr>
        <w:t>Bilješka broj 1. -  N</w:t>
      </w:r>
      <w:r w:rsidRPr="003538F2">
        <w:rPr>
          <w:b/>
        </w:rPr>
        <w:t>efinancijska imovina (</w:t>
      </w:r>
      <w:r w:rsidR="00B57517">
        <w:rPr>
          <w:b/>
        </w:rPr>
        <w:t>Šifra B002</w:t>
      </w:r>
      <w:r w:rsidRPr="003538F2">
        <w:rPr>
          <w:b/>
        </w:rPr>
        <w:t>)</w:t>
      </w:r>
    </w:p>
    <w:p w:rsidR="008045BC" w:rsidRPr="003538F2" w:rsidRDefault="008045BC" w:rsidP="008045BC">
      <w:pPr>
        <w:rPr>
          <w:b/>
        </w:rPr>
      </w:pPr>
    </w:p>
    <w:p w:rsidR="008045BC" w:rsidRPr="003538F2" w:rsidRDefault="008045BC" w:rsidP="008045BC">
      <w:pPr>
        <w:rPr>
          <w:b/>
        </w:rPr>
      </w:pPr>
    </w:p>
    <w:p w:rsidR="008045BC" w:rsidRDefault="008045BC" w:rsidP="008045BC">
      <w:r w:rsidRPr="003538F2">
        <w:t>Nefinancijska imovina (</w:t>
      </w:r>
      <w:r w:rsidR="00B57517">
        <w:t>Šifra B002</w:t>
      </w:r>
      <w:r w:rsidRPr="003538F2">
        <w:t xml:space="preserve">) iznosi </w:t>
      </w:r>
      <w:r w:rsidR="008A2017" w:rsidRPr="008A2017">
        <w:t>62.543.183,03</w:t>
      </w:r>
      <w:r w:rsidR="008A2017">
        <w:t>eur</w:t>
      </w:r>
      <w:r w:rsidRPr="003538F2">
        <w:t xml:space="preserve">, </w:t>
      </w:r>
      <w:r>
        <w:t xml:space="preserve">od čega </w:t>
      </w:r>
      <w:r w:rsidRPr="003538F2">
        <w:t xml:space="preserve">na Istarsku županiju otpada </w:t>
      </w:r>
      <w:r w:rsidR="008A2017" w:rsidRPr="008A2017">
        <w:t>62.529.179,77</w:t>
      </w:r>
      <w:r w:rsidR="008A2017">
        <w:t>eur</w:t>
      </w:r>
      <w:r>
        <w:t>,</w:t>
      </w:r>
      <w:r w:rsidRPr="003538F2">
        <w:t xml:space="preserve"> a na Vijeća nacionalnih manjina </w:t>
      </w:r>
      <w:r w:rsidR="008A2017">
        <w:t>14.003,26eur</w:t>
      </w:r>
      <w:r w:rsidRPr="003538F2">
        <w:t>.</w:t>
      </w:r>
    </w:p>
    <w:p w:rsidR="006147CC" w:rsidRPr="003538F2" w:rsidRDefault="006147CC" w:rsidP="008045BC"/>
    <w:p w:rsidR="008045BC" w:rsidRDefault="008045BC" w:rsidP="008045BC">
      <w:proofErr w:type="spellStart"/>
      <w:r w:rsidRPr="003538F2">
        <w:t>Neproizvedena</w:t>
      </w:r>
      <w:proofErr w:type="spellEnd"/>
      <w:r w:rsidRPr="003538F2">
        <w:t xml:space="preserve"> dugotrajna imovina (</w:t>
      </w:r>
      <w:r w:rsidR="00B57517">
        <w:t>Šifra 01</w:t>
      </w:r>
      <w:r w:rsidRPr="003538F2">
        <w:t xml:space="preserve">) u iznosu od </w:t>
      </w:r>
      <w:r w:rsidR="00E87234" w:rsidRPr="00E87234">
        <w:t>14.353.328,48</w:t>
      </w:r>
      <w:r w:rsidR="00E87234">
        <w:t xml:space="preserve">eur </w:t>
      </w:r>
      <w:r>
        <w:t xml:space="preserve">i </w:t>
      </w:r>
      <w:r w:rsidR="00B57517">
        <w:t>povećana</w:t>
      </w:r>
      <w:r w:rsidRPr="003538F2">
        <w:t xml:space="preserve"> je u odnosu na 01.01.20</w:t>
      </w:r>
      <w:r>
        <w:t>2</w:t>
      </w:r>
      <w:r w:rsidR="00E87234">
        <w:t>3</w:t>
      </w:r>
      <w:r w:rsidRPr="003538F2">
        <w:t xml:space="preserve">.godine za </w:t>
      </w:r>
      <w:r w:rsidR="00E87234">
        <w:t>55,9</w:t>
      </w:r>
      <w:r w:rsidRPr="003538F2">
        <w:t xml:space="preserve">%. </w:t>
      </w:r>
      <w:proofErr w:type="spellStart"/>
      <w:r w:rsidRPr="003538F2">
        <w:t>Neproizvedena</w:t>
      </w:r>
      <w:proofErr w:type="spellEnd"/>
      <w:r w:rsidRPr="003538F2">
        <w:t xml:space="preserve"> dugotrajna imovina Istarske županije </w:t>
      </w:r>
      <w:r>
        <w:t xml:space="preserve"> je </w:t>
      </w:r>
      <w:r w:rsidR="00E87234" w:rsidRPr="00E87234">
        <w:t>14.350.717,43eur</w:t>
      </w:r>
      <w:r>
        <w:t>,</w:t>
      </w:r>
      <w:r w:rsidRPr="003538F2">
        <w:t xml:space="preserve"> a Vijeća nacionalnih manjina </w:t>
      </w:r>
      <w:r w:rsidR="00E87234">
        <w:t>2.611,05eur</w:t>
      </w:r>
      <w:r w:rsidRPr="003538F2">
        <w:t>. Tu  imovinu čine</w:t>
      </w:r>
      <w:r>
        <w:t xml:space="preserve"> </w:t>
      </w:r>
      <w:r w:rsidRPr="003538F2">
        <w:t>zemljišta na kojima su sagrađeni građevinski objekti u vlasništvu  Istarske županije (škole i bolnice)</w:t>
      </w:r>
      <w:r>
        <w:t>,</w:t>
      </w:r>
      <w:r w:rsidRPr="003538F2">
        <w:t xml:space="preserve"> tehnička dokumentacija, prostorni planovi</w:t>
      </w:r>
      <w:r>
        <w:t xml:space="preserve"> i </w:t>
      </w:r>
      <w:r w:rsidRPr="003538F2">
        <w:t xml:space="preserve">ulaganja u tuđu imovinu radi prava korištenja. </w:t>
      </w:r>
      <w:r w:rsidR="003E03A1">
        <w:t>Tijekom 202</w:t>
      </w:r>
      <w:r w:rsidR="007609A6">
        <w:t>3</w:t>
      </w:r>
      <w:r w:rsidR="003E03A1">
        <w:t xml:space="preserve">.godine Ugovorom o darovanju Opće bolnice Pula Istarska županija stekla je zemljište vrijednosti 5.206.430,00eur. </w:t>
      </w:r>
      <w:r w:rsidRPr="003538F2">
        <w:t xml:space="preserve">Nabavna vrijednost </w:t>
      </w:r>
      <w:proofErr w:type="spellStart"/>
      <w:r w:rsidR="003E03A1">
        <w:t>neproizvedene</w:t>
      </w:r>
      <w:proofErr w:type="spellEnd"/>
      <w:r w:rsidR="003E03A1">
        <w:t xml:space="preserve"> dugotrajne </w:t>
      </w:r>
      <w:r w:rsidRPr="003538F2">
        <w:t xml:space="preserve">imovine iznosi </w:t>
      </w:r>
      <w:r w:rsidR="00E87234">
        <w:t>24.310.786</w:t>
      </w:r>
      <w:r w:rsidR="009F14E0" w:rsidRPr="009F14E0">
        <w:t>,</w:t>
      </w:r>
      <w:r w:rsidR="00E87234">
        <w:t>18eur</w:t>
      </w:r>
      <w:r w:rsidRPr="003538F2">
        <w:t xml:space="preserve">,  ispravak vrijednosti je  </w:t>
      </w:r>
      <w:r w:rsidR="00E87234" w:rsidRPr="00E87234">
        <w:t>9.957.457,70</w:t>
      </w:r>
      <w:r w:rsidR="00E87234">
        <w:t xml:space="preserve">eur </w:t>
      </w:r>
      <w:r w:rsidRPr="003538F2">
        <w:t xml:space="preserve">što rezultira sadašnjom vrijednošću od </w:t>
      </w:r>
      <w:r w:rsidR="00E87234" w:rsidRPr="00E87234">
        <w:t>14.353.328,48</w:t>
      </w:r>
      <w:r w:rsidR="00E87234">
        <w:t>eur</w:t>
      </w:r>
      <w:r>
        <w:t xml:space="preserve">. </w:t>
      </w:r>
    </w:p>
    <w:p w:rsidR="008045BC" w:rsidRPr="003538F2" w:rsidRDefault="008045BC" w:rsidP="008045BC"/>
    <w:p w:rsidR="00BB0B07" w:rsidRDefault="008045BC" w:rsidP="008045BC">
      <w:r w:rsidRPr="003538F2">
        <w:t xml:space="preserve">Proizvedena dugotrajna imovina u iznosu od </w:t>
      </w:r>
      <w:r w:rsidR="00E87234" w:rsidRPr="00E87234">
        <w:t>46.298.509,80</w:t>
      </w:r>
      <w:r w:rsidR="00E87234">
        <w:t xml:space="preserve">eur </w:t>
      </w:r>
      <w:r w:rsidRPr="003538F2">
        <w:t>(</w:t>
      </w:r>
      <w:r w:rsidR="009F14E0">
        <w:t>Šifra</w:t>
      </w:r>
      <w:r w:rsidRPr="003538F2">
        <w:t xml:space="preserve"> 0</w:t>
      </w:r>
      <w:r w:rsidR="009F14E0">
        <w:t>2</w:t>
      </w:r>
      <w:r w:rsidRPr="003538F2">
        <w:t>) uvećana  je u odnosu na dan 01.01.20</w:t>
      </w:r>
      <w:r>
        <w:t>2</w:t>
      </w:r>
      <w:r w:rsidR="00E87234">
        <w:t>3</w:t>
      </w:r>
      <w:r w:rsidRPr="003538F2">
        <w:t xml:space="preserve">. godine za </w:t>
      </w:r>
      <w:r>
        <w:t>2</w:t>
      </w:r>
      <w:r w:rsidR="00CF7126">
        <w:t>3,7</w:t>
      </w:r>
      <w:r w:rsidRPr="003538F2">
        <w:t xml:space="preserve">%. Na Istarsku županiju otpada </w:t>
      </w:r>
      <w:r w:rsidR="00CF7126" w:rsidRPr="00CF7126">
        <w:t>46.298.132,89</w:t>
      </w:r>
      <w:r w:rsidR="00CF7126">
        <w:t>eur</w:t>
      </w:r>
      <w:r w:rsidRPr="003538F2">
        <w:t xml:space="preserve">, a na Vijeća nacionalnih manjina </w:t>
      </w:r>
      <w:r w:rsidR="00CF7126">
        <w:t>376,91eur</w:t>
      </w:r>
      <w:r w:rsidRPr="003538F2">
        <w:t>.</w:t>
      </w:r>
      <w:r>
        <w:t xml:space="preserve"> </w:t>
      </w:r>
    </w:p>
    <w:p w:rsidR="00BB0B07" w:rsidRDefault="00BB0B07" w:rsidP="008045BC"/>
    <w:p w:rsidR="00297721" w:rsidRDefault="008045BC" w:rsidP="008045BC">
      <w:r w:rsidRPr="003538F2">
        <w:t xml:space="preserve">Nabavna vrijednost proizvedene dugotrajne imovine iznosi </w:t>
      </w:r>
      <w:r w:rsidR="00CF7126">
        <w:t>48.730.525,16eur</w:t>
      </w:r>
      <w:r w:rsidRPr="003538F2">
        <w:t xml:space="preserve">, ispravak vrijednosti  iznosi </w:t>
      </w:r>
      <w:r w:rsidR="00CF7126" w:rsidRPr="00CF7126">
        <w:t>3.831.618,12</w:t>
      </w:r>
      <w:r w:rsidR="00CF7126">
        <w:t xml:space="preserve">eur </w:t>
      </w:r>
      <w:r w:rsidRPr="003538F2">
        <w:t xml:space="preserve">što rezultira sadašnjom vrijednošću u iznosu od </w:t>
      </w:r>
      <w:r w:rsidR="00CF7126" w:rsidRPr="00CF7126">
        <w:t>44.898.907,04</w:t>
      </w:r>
      <w:r w:rsidR="00CF7126">
        <w:t>eur</w:t>
      </w:r>
      <w:r w:rsidRPr="003538F2">
        <w:t xml:space="preserve">. </w:t>
      </w:r>
    </w:p>
    <w:p w:rsidR="00297721" w:rsidRDefault="00297721" w:rsidP="008045BC"/>
    <w:p w:rsidR="008045BC" w:rsidRDefault="008045BC" w:rsidP="008045BC">
      <w:r w:rsidRPr="003538F2">
        <w:t>Proizvedena dugotrajna imovina I</w:t>
      </w:r>
      <w:r>
        <w:t xml:space="preserve">starske županije </w:t>
      </w:r>
      <w:r w:rsidRPr="003538F2">
        <w:t>sastoji se od ostalih građevinskih objekata (bolnice, ljekarna, ambulanta, škole),uredske opreme, prijevoznih sredstava, dijela likovnih umjetnika i nematerijalne proizvedene imovine. Spomenuta imovina nalazi se osim u Upravnim odjelima</w:t>
      </w:r>
      <w:r>
        <w:t xml:space="preserve"> Istarske županije</w:t>
      </w:r>
      <w:r w:rsidRPr="003538F2">
        <w:t xml:space="preserve">, Stručnoj službi, </w:t>
      </w:r>
      <w:r w:rsidR="00EA0EB3">
        <w:t>Upravnom odjelu župana</w:t>
      </w:r>
      <w:r w:rsidRPr="003538F2">
        <w:t xml:space="preserve">, u prostorima Centra za PSP Pula te u prostorima Centra za prevenciju i vanbolničko liječenje ovisnika Pula. </w:t>
      </w:r>
    </w:p>
    <w:p w:rsidR="006147CC" w:rsidRPr="003538F2" w:rsidRDefault="006147CC" w:rsidP="008045BC"/>
    <w:p w:rsidR="008045BC" w:rsidRDefault="008045BC" w:rsidP="008045BC">
      <w:r w:rsidRPr="003538F2">
        <w:t>Iz proizvedene dugotrajne imovine</w:t>
      </w:r>
      <w:r>
        <w:t xml:space="preserve"> prenesena</w:t>
      </w:r>
      <w:r w:rsidRPr="003538F2">
        <w:t xml:space="preserve"> je imovina dana proračunskim korisnicima Istarske županije </w:t>
      </w:r>
      <w:r w:rsidRPr="00011231">
        <w:t xml:space="preserve">i to školama u </w:t>
      </w:r>
      <w:r w:rsidRPr="000641AE">
        <w:t xml:space="preserve">iznosu od </w:t>
      </w:r>
      <w:r w:rsidR="005474CF" w:rsidRPr="005474CF">
        <w:t>1.249.219,81</w:t>
      </w:r>
      <w:r w:rsidR="005474CF">
        <w:t>eur</w:t>
      </w:r>
      <w:r w:rsidRPr="000641AE">
        <w:t>.</w:t>
      </w:r>
    </w:p>
    <w:p w:rsidR="00BB0B07" w:rsidRDefault="00BB0B07" w:rsidP="008045BC"/>
    <w:p w:rsidR="00BB0B07" w:rsidRDefault="00BB0B07" w:rsidP="008045BC">
      <w:r>
        <w:t>Nabavna vrijednost prijevoznih sredstava iznosi 554.981,3</w:t>
      </w:r>
      <w:r w:rsidR="00732083">
        <w:t>8</w:t>
      </w:r>
      <w:r>
        <w:t xml:space="preserve">eur, a ispravak vrijednosti prijevoznih sredstava iznosi 298.780,59eur što rezultira sadašnjom vrijednošću od 256.200,79eur. Tijekom 2023.godine završena je izgradnja brodice za potrebe vatrogastva na moru u okviru projekta FIRESPILL. </w:t>
      </w:r>
      <w:r w:rsidRPr="000E5D90">
        <w:t>Ukupna vrijednost brodice je 2</w:t>
      </w:r>
      <w:r w:rsidR="004B5317" w:rsidRPr="000E5D90">
        <w:t>68.120,67eur, ispravak vrijednosti je 13.964,60eur pa ista na dan 31.12.2023. godine iznosi 254.156,07eur.</w:t>
      </w:r>
    </w:p>
    <w:p w:rsidR="005474CF" w:rsidRDefault="005474CF" w:rsidP="008045BC"/>
    <w:p w:rsidR="005474CF" w:rsidRDefault="005474CF" w:rsidP="008045BC">
      <w:r w:rsidRPr="005474CF">
        <w:t>Ulaganja u računalne programe iznos</w:t>
      </w:r>
      <w:r w:rsidR="00BB0B07">
        <w:t>e na kraju 2023.godine</w:t>
      </w:r>
      <w:r w:rsidRPr="005474CF">
        <w:t xml:space="preserve"> 267.057,96eur. Nabavna vrijednost je 1.818.123,32</w:t>
      </w:r>
      <w:r>
        <w:t>e</w:t>
      </w:r>
      <w:r w:rsidRPr="005474CF">
        <w:t>ur, a ispravak vrijednosti 1.551.065,36eur</w:t>
      </w:r>
      <w:r>
        <w:t>.</w:t>
      </w:r>
    </w:p>
    <w:p w:rsidR="008045BC" w:rsidRDefault="008045BC" w:rsidP="008045BC"/>
    <w:p w:rsidR="008045BC" w:rsidRPr="003538F2" w:rsidRDefault="008045BC" w:rsidP="008045BC">
      <w:r w:rsidRPr="003538F2">
        <w:t xml:space="preserve">Nabavna vrijednost kao i ispravak vrijednosti sitnog inventara iznosi </w:t>
      </w:r>
      <w:r w:rsidR="005474CF" w:rsidRPr="005474CF">
        <w:t>224.425,89</w:t>
      </w:r>
      <w:r w:rsidR="005474CF">
        <w:t>eur</w:t>
      </w:r>
      <w:r w:rsidRPr="003538F2">
        <w:t xml:space="preserve">, na Istarsku županiju otpada </w:t>
      </w:r>
      <w:r w:rsidR="005474CF" w:rsidRPr="005474CF">
        <w:t>213.435,40</w:t>
      </w:r>
      <w:r w:rsidR="005474CF">
        <w:t>eur</w:t>
      </w:r>
      <w:r w:rsidRPr="003538F2">
        <w:t xml:space="preserve">, a na Vijeća </w:t>
      </w:r>
      <w:r w:rsidR="005474CF" w:rsidRPr="005474CF">
        <w:t>10.990,49</w:t>
      </w:r>
      <w:r w:rsidR="005474CF">
        <w:t>eur</w:t>
      </w:r>
      <w:r w:rsidRPr="003538F2">
        <w:t>.</w:t>
      </w:r>
    </w:p>
    <w:p w:rsidR="008045BC" w:rsidRDefault="008045BC" w:rsidP="008045BC"/>
    <w:p w:rsidR="008045BC" w:rsidRDefault="008045BC" w:rsidP="008045BC"/>
    <w:p w:rsidR="00BB0B07" w:rsidRDefault="00BB0B07" w:rsidP="008045BC">
      <w:bookmarkStart w:id="0" w:name="_GoBack"/>
      <w:bookmarkEnd w:id="0"/>
    </w:p>
    <w:p w:rsidR="008045BC" w:rsidRDefault="008045BC" w:rsidP="008045BC">
      <w:pPr>
        <w:rPr>
          <w:b/>
        </w:rPr>
      </w:pPr>
      <w:r w:rsidRPr="003538F2">
        <w:rPr>
          <w:b/>
        </w:rPr>
        <w:lastRenderedPageBreak/>
        <w:t>Bilješka broj  2</w:t>
      </w:r>
      <w:r>
        <w:rPr>
          <w:b/>
        </w:rPr>
        <w:t>.</w:t>
      </w:r>
      <w:r w:rsidRPr="003538F2">
        <w:rPr>
          <w:b/>
        </w:rPr>
        <w:t xml:space="preserve"> – Financijska imovina (</w:t>
      </w:r>
      <w:r w:rsidR="00A6105F">
        <w:rPr>
          <w:b/>
        </w:rPr>
        <w:t>Šifra 1</w:t>
      </w:r>
      <w:r w:rsidRPr="003538F2">
        <w:rPr>
          <w:b/>
        </w:rPr>
        <w:t>)</w:t>
      </w:r>
    </w:p>
    <w:p w:rsidR="008045BC" w:rsidRDefault="008045BC" w:rsidP="008045BC">
      <w:pPr>
        <w:rPr>
          <w:b/>
        </w:rPr>
      </w:pPr>
    </w:p>
    <w:p w:rsidR="008045BC" w:rsidRPr="003538F2" w:rsidRDefault="008045BC" w:rsidP="008045BC">
      <w:pPr>
        <w:rPr>
          <w:b/>
        </w:rPr>
      </w:pPr>
    </w:p>
    <w:p w:rsidR="006147CC" w:rsidRDefault="008045BC" w:rsidP="008045BC">
      <w:r w:rsidRPr="003B0E25">
        <w:t>Financijska imovina na dan 31.12.202</w:t>
      </w:r>
      <w:r w:rsidR="005474CF">
        <w:t>3</w:t>
      </w:r>
      <w:r w:rsidRPr="003B0E25">
        <w:t xml:space="preserve">. iznosi </w:t>
      </w:r>
      <w:r w:rsidR="005560E1" w:rsidRPr="005560E1">
        <w:t>49.003.333,82</w:t>
      </w:r>
      <w:r w:rsidR="005560E1">
        <w:t>eur</w:t>
      </w:r>
      <w:r w:rsidRPr="003B0E25">
        <w:t xml:space="preserve">. Na Istarsku županiju otpada </w:t>
      </w:r>
      <w:r w:rsidR="005560E1" w:rsidRPr="005560E1">
        <w:t>48.996.906,23</w:t>
      </w:r>
      <w:r w:rsidR="005560E1">
        <w:t>eur</w:t>
      </w:r>
      <w:r w:rsidRPr="003B0E25">
        <w:t xml:space="preserve">,  a </w:t>
      </w:r>
      <w:r>
        <w:t xml:space="preserve"> </w:t>
      </w:r>
      <w:r w:rsidRPr="003B0E25">
        <w:t xml:space="preserve">na Vijeća otpada </w:t>
      </w:r>
      <w:r w:rsidR="005560E1" w:rsidRPr="005560E1">
        <w:t>6.427,59</w:t>
      </w:r>
      <w:r w:rsidR="005560E1">
        <w:t>eur</w:t>
      </w:r>
      <w:r w:rsidRPr="003B0E25">
        <w:t xml:space="preserve">.  </w:t>
      </w:r>
    </w:p>
    <w:p w:rsidR="00193572" w:rsidRDefault="00193572" w:rsidP="008045BC"/>
    <w:p w:rsidR="00297721" w:rsidRDefault="008045BC" w:rsidP="008045BC">
      <w:r w:rsidRPr="003B0E25">
        <w:t xml:space="preserve">Novčana sredstva Istarske županije iznose </w:t>
      </w:r>
      <w:r w:rsidR="004F3DBC" w:rsidRPr="004F3DBC">
        <w:t>14.983.036,30</w:t>
      </w:r>
      <w:r w:rsidR="004F3DBC">
        <w:t>eur</w:t>
      </w:r>
      <w:r w:rsidRPr="003B0E25">
        <w:t xml:space="preserve">, a Vijeća nacionalnih manjina </w:t>
      </w:r>
      <w:r w:rsidR="004F3DBC" w:rsidRPr="004F3DBC">
        <w:t>3.931,73</w:t>
      </w:r>
      <w:r w:rsidR="004F3DBC">
        <w:t xml:space="preserve">eur </w:t>
      </w:r>
      <w:r w:rsidRPr="003B0E25">
        <w:t xml:space="preserve">što ukupno iznosi </w:t>
      </w:r>
      <w:r w:rsidR="004F3DBC" w:rsidRPr="004F3DBC">
        <w:t>14.986.968,03</w:t>
      </w:r>
      <w:r w:rsidR="004F3DBC">
        <w:t>eur</w:t>
      </w:r>
      <w:r w:rsidRPr="003B0E25">
        <w:t>.</w:t>
      </w:r>
      <w:r>
        <w:t xml:space="preserve"> </w:t>
      </w:r>
    </w:p>
    <w:p w:rsidR="00297721" w:rsidRDefault="00297721" w:rsidP="008045BC"/>
    <w:p w:rsidR="008045BC" w:rsidRDefault="001E1E3B" w:rsidP="008045BC">
      <w:r>
        <w:t>V</w:t>
      </w:r>
      <w:r w:rsidR="008045BC" w:rsidRPr="003B0E25">
        <w:t xml:space="preserve">rijednost potraživanja za dane zajmove u iznosu od </w:t>
      </w:r>
      <w:r w:rsidR="009D6827" w:rsidRPr="009D6827">
        <w:t>11.870.424,04</w:t>
      </w:r>
      <w:r w:rsidR="009D6827">
        <w:t xml:space="preserve">eur </w:t>
      </w:r>
      <w:r w:rsidR="008045BC" w:rsidRPr="003B0E25">
        <w:t xml:space="preserve">odnosi se na zajmove koji su plasirani putem Fonda za poljoprivredu Istarske županije, te su u odnosu na početak godine povećani  za </w:t>
      </w:r>
      <w:r w:rsidR="009D6827">
        <w:t>3,4</w:t>
      </w:r>
      <w:r w:rsidR="008045BC" w:rsidRPr="003B0E25">
        <w:t>% Saldo ovih</w:t>
      </w:r>
      <w:r w:rsidR="008045BC" w:rsidRPr="003538F2">
        <w:t xml:space="preserve"> potraživanja umanjen je iz razloga knjiženja ispravka vrijednosti dospjelih potraživanja  radi kašnjenja naplate preko godine dana i nakon tri godine u iznosu od </w:t>
      </w:r>
      <w:r w:rsidR="009D6827" w:rsidRPr="009D6827">
        <w:t>1.849.178,90</w:t>
      </w:r>
      <w:r w:rsidR="009D6827">
        <w:t>eur</w:t>
      </w:r>
      <w:r w:rsidR="008045BC" w:rsidRPr="003538F2">
        <w:t>. Ispravljena potraživanja zadržana su u bilančnoj evidenciji  i biti će sve do trenutka prestanka postojanja osnove za naplatu.</w:t>
      </w:r>
    </w:p>
    <w:p w:rsidR="00297721" w:rsidRDefault="00297721" w:rsidP="008045BC"/>
    <w:p w:rsidR="008045BC" w:rsidRDefault="008045BC" w:rsidP="008045BC">
      <w:r w:rsidRPr="003538F2">
        <w:t xml:space="preserve">Vrijednost dionica i udjela </w:t>
      </w:r>
      <w:r w:rsidR="000933CF">
        <w:t>smanjena je za 0,01</w:t>
      </w:r>
      <w:r w:rsidRPr="003538F2">
        <w:t>% u odnosu na 01.01.20</w:t>
      </w:r>
      <w:r>
        <w:t>2</w:t>
      </w:r>
      <w:r w:rsidR="000933CF">
        <w:t>3</w:t>
      </w:r>
      <w:r w:rsidRPr="003538F2">
        <w:t>.</w:t>
      </w:r>
      <w:r>
        <w:t xml:space="preserve"> godine i iznosi </w:t>
      </w:r>
      <w:r w:rsidR="000933CF" w:rsidRPr="000933CF">
        <w:t>17.890.626,06</w:t>
      </w:r>
      <w:r w:rsidR="000933CF">
        <w:t>eur</w:t>
      </w:r>
      <w:r>
        <w:t xml:space="preserve">. Na vrijednost dionica i udjela u izvještajnom razdoblju utjecala </w:t>
      </w:r>
      <w:r w:rsidR="000933CF">
        <w:t xml:space="preserve">je </w:t>
      </w:r>
      <w:proofErr w:type="spellStart"/>
      <w:r w:rsidR="000933CF">
        <w:t>usklada</w:t>
      </w:r>
      <w:proofErr w:type="spellEnd"/>
      <w:r w:rsidR="000933CF">
        <w:t xml:space="preserve"> u temeljnom kapitalu vezana uz stupanje na snagu </w:t>
      </w:r>
      <w:r w:rsidR="000933CF" w:rsidRPr="000933CF">
        <w:t>Zakon</w:t>
      </w:r>
      <w:r w:rsidR="000933CF">
        <w:t>a</w:t>
      </w:r>
      <w:r w:rsidR="000933CF" w:rsidRPr="000933CF">
        <w:t xml:space="preserve"> o uvođenju eura kao službene valute u Republici Hrvatskoj</w:t>
      </w:r>
      <w:r w:rsidR="000933CF">
        <w:t>.</w:t>
      </w:r>
      <w:r w:rsidR="000933CF" w:rsidRPr="000933CF">
        <w:t xml:space="preserve"> </w:t>
      </w:r>
      <w:r w:rsidR="00BD21D7">
        <w:t>S</w:t>
      </w:r>
      <w:r w:rsidRPr="003538F2">
        <w:t>manjen</w:t>
      </w:r>
      <w:r>
        <w:t>j</w:t>
      </w:r>
      <w:r w:rsidRPr="003538F2">
        <w:t xml:space="preserve">a  </w:t>
      </w:r>
      <w:r w:rsidR="00BD21D7">
        <w:t xml:space="preserve">su </w:t>
      </w:r>
      <w:r>
        <w:t xml:space="preserve">vezana uz obročnu </w:t>
      </w:r>
      <w:r w:rsidRPr="00011231">
        <w:t>otplatu radnika</w:t>
      </w:r>
      <w:r>
        <w:t xml:space="preserve"> za </w:t>
      </w:r>
      <w:r w:rsidRPr="003538F2">
        <w:t>udjel</w:t>
      </w:r>
      <w:r>
        <w:t>e</w:t>
      </w:r>
      <w:r w:rsidRPr="003538F2">
        <w:t xml:space="preserve"> </w:t>
      </w:r>
      <w:r w:rsidR="000933CF">
        <w:t xml:space="preserve">u </w:t>
      </w:r>
      <w:r>
        <w:t>trgovačk</w:t>
      </w:r>
      <w:r w:rsidR="000933CF">
        <w:t>om</w:t>
      </w:r>
      <w:r>
        <w:t xml:space="preserve"> društv</w:t>
      </w:r>
      <w:r w:rsidR="000933CF">
        <w:t>u</w:t>
      </w:r>
      <w:r w:rsidRPr="002B0B82">
        <w:t xml:space="preserve"> Vodoprivred</w:t>
      </w:r>
      <w:r w:rsidR="00130965">
        <w:t>a</w:t>
      </w:r>
      <w:r w:rsidRPr="002B0B82">
        <w:t xml:space="preserve"> d.o.o. Novigrad u iznosu od </w:t>
      </w:r>
      <w:r w:rsidR="007A4603">
        <w:t>6.867,61eur.</w:t>
      </w:r>
      <w:r>
        <w:t xml:space="preserve"> </w:t>
      </w:r>
    </w:p>
    <w:p w:rsidR="008045BC" w:rsidRDefault="008045BC" w:rsidP="008045BC"/>
    <w:p w:rsidR="00297721" w:rsidRDefault="008045BC" w:rsidP="00770373">
      <w:r w:rsidRPr="00F74C7D">
        <w:t>Vrijednost ukupnih potraživanja za prihode poslovanja na dan 31.12.202</w:t>
      </w:r>
      <w:r w:rsidR="00B81B83">
        <w:t>3</w:t>
      </w:r>
      <w:r>
        <w:t>. godine</w:t>
      </w:r>
      <w:r w:rsidRPr="00F74C7D">
        <w:t xml:space="preserve"> iznosi </w:t>
      </w:r>
      <w:r w:rsidR="00B81B83" w:rsidRPr="00B81B83">
        <w:t>1.913.719,67</w:t>
      </w:r>
      <w:r w:rsidR="00B81B83">
        <w:t xml:space="preserve">eur </w:t>
      </w:r>
      <w:r>
        <w:t xml:space="preserve">i bilježe </w:t>
      </w:r>
      <w:r w:rsidR="00042443">
        <w:t>povećanje</w:t>
      </w:r>
      <w:r>
        <w:t xml:space="preserve"> od </w:t>
      </w:r>
      <w:r w:rsidR="00B81B83">
        <w:t>3</w:t>
      </w:r>
      <w:r w:rsidR="00042443">
        <w:t>1</w:t>
      </w:r>
      <w:r w:rsidR="00B81B83">
        <w:t>,6</w:t>
      </w:r>
      <w:r>
        <w:t>%.</w:t>
      </w:r>
      <w:r w:rsidRPr="00F74C7D">
        <w:t xml:space="preserve"> </w:t>
      </w:r>
      <w:r w:rsidR="00C52551" w:rsidRPr="00C52551">
        <w:t>Ukupan iznos odnosi se na  potraživanja za prihode poslovanja Istarske županije</w:t>
      </w:r>
      <w:r w:rsidR="00472A38">
        <w:t xml:space="preserve"> i Vijeća nacionalnih manjina i predst</w:t>
      </w:r>
      <w:r w:rsidR="00F25646">
        <w:t>a</w:t>
      </w:r>
      <w:r w:rsidR="00472A38">
        <w:t>vnika.</w:t>
      </w:r>
      <w:r w:rsidR="00C52551">
        <w:t xml:space="preserve"> </w:t>
      </w:r>
      <w:r w:rsidR="007266F7" w:rsidRPr="00F74C7D">
        <w:t>Vrijednost</w:t>
      </w:r>
      <w:r w:rsidR="007266F7" w:rsidRPr="003538F2">
        <w:t xml:space="preserve"> potraživanja za prihode poslovanja </w:t>
      </w:r>
      <w:r w:rsidR="00472A38">
        <w:t xml:space="preserve">Istarske županije </w:t>
      </w:r>
      <w:r w:rsidR="007266F7" w:rsidRPr="003538F2">
        <w:t xml:space="preserve">smanjena je za njihov ispravak u iznosu od </w:t>
      </w:r>
      <w:r w:rsidR="00B81B83" w:rsidRPr="00B81B83">
        <w:t>1.720.952,49</w:t>
      </w:r>
      <w:r w:rsidR="00B81B83">
        <w:t>eur</w:t>
      </w:r>
      <w:r w:rsidR="007266F7" w:rsidRPr="003538F2">
        <w:t>.</w:t>
      </w:r>
    </w:p>
    <w:p w:rsidR="00297721" w:rsidRDefault="00297721" w:rsidP="00770373"/>
    <w:p w:rsidR="008045BC" w:rsidRDefault="008045BC" w:rsidP="00AF240E">
      <w:pPr>
        <w:autoSpaceDE w:val="0"/>
        <w:autoSpaceDN w:val="0"/>
        <w:adjustRightInd w:val="0"/>
      </w:pPr>
      <w:r w:rsidRPr="006361C5">
        <w:t>Ispravak</w:t>
      </w:r>
      <w:r w:rsidR="007266F7">
        <w:t xml:space="preserve"> vrijednosti potraživanja</w:t>
      </w:r>
      <w:r w:rsidRPr="006361C5">
        <w:t xml:space="preserve"> se odnosi na kašnjenje naplate dospjelih potraživanja preko  godine dana i nakon tri godine, stoga je vrijednost potraživanja (</w:t>
      </w:r>
      <w:r w:rsidR="00770373">
        <w:t>Šifra 169</w:t>
      </w:r>
      <w:r w:rsidRPr="006361C5">
        <w:t xml:space="preserve">) </w:t>
      </w:r>
      <w:r>
        <w:t xml:space="preserve">u iznosu od </w:t>
      </w:r>
      <w:r w:rsidR="00B81B83" w:rsidRPr="00B81B83">
        <w:t>1.720.952,49</w:t>
      </w:r>
      <w:r w:rsidR="00B81B83">
        <w:t>eur povećana</w:t>
      </w:r>
      <w:r w:rsidRPr="006361C5">
        <w:t xml:space="preserve"> u odnosu na 01.01.202</w:t>
      </w:r>
      <w:r w:rsidR="00B81B83">
        <w:t>3</w:t>
      </w:r>
      <w:r w:rsidRPr="006361C5">
        <w:t xml:space="preserve"> za </w:t>
      </w:r>
      <w:r w:rsidR="00B81B83">
        <w:t>157.861,69eur</w:t>
      </w:r>
      <w:r w:rsidR="00B81B83" w:rsidRPr="00732083">
        <w:t>.</w:t>
      </w:r>
      <w:r w:rsidRPr="00732083">
        <w:t xml:space="preserve"> </w:t>
      </w:r>
      <w:r w:rsidR="00AE09AE" w:rsidRPr="00732083">
        <w:t xml:space="preserve">Najznačajnije povećanje ispravka vrijednosti odnosi se na potraživanje za zatezne kamate i kamate na dane zajmove vezano uz </w:t>
      </w:r>
      <w:r w:rsidR="00AF240E" w:rsidRPr="00732083">
        <w:t>F</w:t>
      </w:r>
      <w:r w:rsidR="00AE09AE" w:rsidRPr="00732083">
        <w:t>ond za razvoj poljoprivrede</w:t>
      </w:r>
      <w:r w:rsidR="000E5D90" w:rsidRPr="00732083">
        <w:t xml:space="preserve"> Istarske županije</w:t>
      </w:r>
      <w:r w:rsidR="00AF240E" w:rsidRPr="00732083">
        <w:t xml:space="preserve"> i potraživanja za naknadu za upotrebu pomorskog dobra za jahte i brodice koje se vode pri </w:t>
      </w:r>
      <w:r w:rsidR="00AF240E" w:rsidRPr="00732083">
        <w:rPr>
          <w:rFonts w:ascii="ArialMT" w:hAnsi="ArialMT" w:cs="ArialMT"/>
          <w:szCs w:val="22"/>
          <w:lang w:eastAsia="hr-HR"/>
        </w:rPr>
        <w:t>Ministarstvu mora, prometa i infrastrukture</w:t>
      </w:r>
      <w:r w:rsidR="000E5D90" w:rsidRPr="00732083">
        <w:rPr>
          <w:rFonts w:ascii="ArialMT" w:hAnsi="ArialMT" w:cs="ArialMT"/>
          <w:szCs w:val="22"/>
          <w:lang w:eastAsia="hr-HR"/>
        </w:rPr>
        <w:t xml:space="preserve"> Republike Hrvatske</w:t>
      </w:r>
      <w:r w:rsidR="00AF240E" w:rsidRPr="00732083">
        <w:rPr>
          <w:rFonts w:ascii="ArialMT" w:hAnsi="ArialMT" w:cs="ArialMT"/>
          <w:szCs w:val="22"/>
          <w:lang w:eastAsia="hr-HR"/>
        </w:rPr>
        <w:t>.</w:t>
      </w:r>
      <w:r w:rsidR="00AE09AE" w:rsidRPr="00732083">
        <w:t xml:space="preserve"> </w:t>
      </w:r>
      <w:r w:rsidRPr="00732083">
        <w:t>Ispravljena potraživanja zadržana su u bilančnoj evidenciji i biti će sve do trenutka prestanka postojanja osnove za naplatu.</w:t>
      </w:r>
      <w:r w:rsidRPr="006361C5">
        <w:t xml:space="preserve"> </w:t>
      </w:r>
    </w:p>
    <w:p w:rsidR="008045BC" w:rsidRPr="003538F2" w:rsidRDefault="008045BC" w:rsidP="008045BC"/>
    <w:p w:rsidR="008045BC" w:rsidRDefault="008045BC" w:rsidP="008045BC">
      <w:r w:rsidRPr="003538F2">
        <w:t xml:space="preserve">Unaprijed plaćeni  rashodi budućih razdoblja u iznosu od </w:t>
      </w:r>
      <w:r w:rsidR="00AB1012" w:rsidRPr="00AB1012">
        <w:t>523.565,60</w:t>
      </w:r>
      <w:r w:rsidR="00AB1012">
        <w:t>eur</w:t>
      </w:r>
      <w:r w:rsidR="00085315">
        <w:t xml:space="preserve"> </w:t>
      </w:r>
      <w:r w:rsidRPr="003538F2">
        <w:t>(</w:t>
      </w:r>
      <w:r w:rsidR="00770373">
        <w:t>Šifra 19</w:t>
      </w:r>
      <w:r w:rsidRPr="003538F2">
        <w:t xml:space="preserve">)  </w:t>
      </w:r>
      <w:r w:rsidR="00AB1012">
        <w:t xml:space="preserve">na dan 01.01.2023. </w:t>
      </w:r>
      <w:r w:rsidRPr="003538F2">
        <w:t xml:space="preserve">smanjeni su za </w:t>
      </w:r>
      <w:r w:rsidR="00AB1012">
        <w:t>8,4</w:t>
      </w:r>
      <w:r w:rsidRPr="003538F2">
        <w:t>%</w:t>
      </w:r>
      <w:r>
        <w:t>,</w:t>
      </w:r>
      <w:r w:rsidRPr="003538F2">
        <w:t xml:space="preserve"> a odnose </w:t>
      </w:r>
      <w:r>
        <w:t xml:space="preserve">se </w:t>
      </w:r>
      <w:r w:rsidRPr="003538F2">
        <w:t xml:space="preserve">na kamate za povučeni dio kredita od Ministarstva Financija  EU IPA 2007-2011 za ŽCGO </w:t>
      </w:r>
      <w:proofErr w:type="spellStart"/>
      <w:r w:rsidRPr="003538F2">
        <w:t>Kaštijun</w:t>
      </w:r>
      <w:proofErr w:type="spellEnd"/>
      <w:r w:rsidRPr="003538F2">
        <w:t xml:space="preserve">  za 20</w:t>
      </w:r>
      <w:r>
        <w:t>2</w:t>
      </w:r>
      <w:r w:rsidR="00AB1012">
        <w:t>3</w:t>
      </w:r>
      <w:r>
        <w:t>.</w:t>
      </w:r>
      <w:r w:rsidRPr="003538F2">
        <w:t xml:space="preserve"> godinu čija je otplata započela 2017. godine  te</w:t>
      </w:r>
      <w:r>
        <w:t xml:space="preserve"> krajem 202</w:t>
      </w:r>
      <w:r w:rsidR="00AB1012">
        <w:t>3</w:t>
      </w:r>
      <w:r>
        <w:t>. godine</w:t>
      </w:r>
      <w:r w:rsidRPr="003538F2">
        <w:t xml:space="preserve">  iznose </w:t>
      </w:r>
      <w:r w:rsidR="00AB1012" w:rsidRPr="00AB1012">
        <w:t>47</w:t>
      </w:r>
      <w:r w:rsidR="00AB1012">
        <w:t>6</w:t>
      </w:r>
      <w:r w:rsidR="00AB1012" w:rsidRPr="00AB1012">
        <w:t>.</w:t>
      </w:r>
      <w:r w:rsidR="00AB1012">
        <w:t xml:space="preserve">089,05eur </w:t>
      </w:r>
      <w:r w:rsidRPr="003538F2">
        <w:t>kao i  unaprijed plaćene  rashode  budućih razdoblja – stručna literatura</w:t>
      </w:r>
      <w:r>
        <w:t xml:space="preserve"> i ostalo</w:t>
      </w:r>
      <w:r w:rsidRPr="003538F2">
        <w:t xml:space="preserve"> -  u iznosu od </w:t>
      </w:r>
      <w:r w:rsidR="00AB1012">
        <w:t>3.735,07eur</w:t>
      </w:r>
      <w:r>
        <w:t>.</w:t>
      </w:r>
      <w:r w:rsidR="00C52551">
        <w:t xml:space="preserve"> Isto je prikazano u tablici u nastavku.</w:t>
      </w:r>
    </w:p>
    <w:p w:rsidR="00C52551" w:rsidRDefault="00C52551" w:rsidP="008045BC"/>
    <w:p w:rsidR="00C52551" w:rsidRDefault="00C52551" w:rsidP="008045BC"/>
    <w:p w:rsidR="00C52551" w:rsidRDefault="00C52551" w:rsidP="008045BC">
      <w:pPr>
        <w:rPr>
          <w:rFonts w:ascii="Calibri" w:hAnsi="Calibri" w:cs="Calibri"/>
          <w:b/>
          <w:bCs/>
          <w:color w:val="000000"/>
          <w:szCs w:val="22"/>
          <w:lang w:eastAsia="hr-HR"/>
        </w:rPr>
      </w:pPr>
      <w:r w:rsidRPr="00C52551">
        <w:rPr>
          <w:rFonts w:ascii="Calibri" w:hAnsi="Calibri" w:cs="Calibri"/>
          <w:b/>
          <w:bCs/>
          <w:color w:val="000000"/>
          <w:szCs w:val="22"/>
          <w:lang w:eastAsia="hr-HR"/>
        </w:rPr>
        <w:t xml:space="preserve">Tablica: </w:t>
      </w:r>
      <w:r w:rsidRPr="00193B9C">
        <w:rPr>
          <w:rFonts w:ascii="Calibri" w:hAnsi="Calibri" w:cs="Calibri"/>
          <w:b/>
          <w:bCs/>
          <w:color w:val="000000"/>
          <w:szCs w:val="22"/>
          <w:lang w:eastAsia="hr-HR"/>
        </w:rPr>
        <w:t>Rashodi budućeg razdoblja i nedospjela naplata prihoda</w:t>
      </w:r>
      <w:r>
        <w:rPr>
          <w:rFonts w:ascii="Calibri" w:hAnsi="Calibri" w:cs="Calibri"/>
          <w:b/>
          <w:bCs/>
          <w:color w:val="000000"/>
          <w:szCs w:val="22"/>
          <w:lang w:eastAsia="hr-HR"/>
        </w:rPr>
        <w:t xml:space="preserve"> na dan 31.12.</w:t>
      </w:r>
      <w:r w:rsidR="00AB1012">
        <w:rPr>
          <w:rFonts w:ascii="Calibri" w:hAnsi="Calibri" w:cs="Calibri"/>
          <w:b/>
          <w:bCs/>
          <w:color w:val="000000"/>
          <w:szCs w:val="22"/>
          <w:lang w:eastAsia="hr-HR"/>
        </w:rPr>
        <w:t>2023</w:t>
      </w:r>
      <w:r>
        <w:rPr>
          <w:rFonts w:ascii="Calibri" w:hAnsi="Calibri" w:cs="Calibri"/>
          <w:b/>
          <w:bCs/>
          <w:color w:val="000000"/>
          <w:szCs w:val="22"/>
          <w:lang w:eastAsia="hr-HR"/>
        </w:rPr>
        <w:t>. godine</w:t>
      </w:r>
    </w:p>
    <w:tbl>
      <w:tblPr>
        <w:tblW w:w="9140" w:type="dxa"/>
        <w:tblLook w:val="04A0" w:firstRow="1" w:lastRow="0" w:firstColumn="1" w:lastColumn="0" w:noHBand="0" w:noVBand="1"/>
      </w:tblPr>
      <w:tblGrid>
        <w:gridCol w:w="886"/>
        <w:gridCol w:w="4163"/>
        <w:gridCol w:w="631"/>
        <w:gridCol w:w="1285"/>
        <w:gridCol w:w="1285"/>
        <w:gridCol w:w="890"/>
      </w:tblGrid>
      <w:tr w:rsidR="001E1E3B" w:rsidRPr="001E1E3B" w:rsidTr="00085315">
        <w:trPr>
          <w:trHeight w:val="300"/>
        </w:trPr>
        <w:tc>
          <w:tcPr>
            <w:tcW w:w="886" w:type="dxa"/>
            <w:tcBorders>
              <w:top w:val="single" w:sz="4" w:space="0" w:color="auto"/>
              <w:left w:val="single" w:sz="4" w:space="0" w:color="auto"/>
              <w:bottom w:val="single" w:sz="4" w:space="0" w:color="auto"/>
              <w:right w:val="single" w:sz="4" w:space="0" w:color="auto"/>
            </w:tcBorders>
            <w:shd w:val="clear" w:color="000000" w:fill="E7E6E6"/>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RAČUN</w:t>
            </w:r>
          </w:p>
        </w:tc>
        <w:tc>
          <w:tcPr>
            <w:tcW w:w="4163" w:type="dxa"/>
            <w:tcBorders>
              <w:top w:val="single" w:sz="4" w:space="0" w:color="auto"/>
              <w:left w:val="nil"/>
              <w:bottom w:val="single" w:sz="4" w:space="0" w:color="auto"/>
              <w:right w:val="single" w:sz="4" w:space="0" w:color="auto"/>
            </w:tcBorders>
            <w:shd w:val="clear" w:color="000000" w:fill="E7E6E6"/>
            <w:hideMark/>
          </w:tcPr>
          <w:p w:rsidR="001E1E3B" w:rsidRPr="001E1E3B" w:rsidRDefault="001E1E3B" w:rsidP="001E1E3B">
            <w:pPr>
              <w:jc w:val="center"/>
              <w:rPr>
                <w:rFonts w:ascii="Calibri" w:hAnsi="Calibri" w:cs="Calibri"/>
                <w:b/>
                <w:bCs/>
                <w:color w:val="000000"/>
                <w:szCs w:val="22"/>
                <w:lang w:eastAsia="hr-HR"/>
              </w:rPr>
            </w:pPr>
            <w:r w:rsidRPr="001E1E3B">
              <w:rPr>
                <w:rFonts w:ascii="Calibri" w:hAnsi="Calibri" w:cs="Calibri"/>
                <w:b/>
                <w:bCs/>
                <w:color w:val="000000"/>
                <w:szCs w:val="22"/>
                <w:lang w:eastAsia="hr-HR"/>
              </w:rPr>
              <w:t>OPIS</w:t>
            </w:r>
          </w:p>
        </w:tc>
        <w:tc>
          <w:tcPr>
            <w:tcW w:w="631" w:type="dxa"/>
            <w:tcBorders>
              <w:top w:val="single" w:sz="4" w:space="0" w:color="auto"/>
              <w:left w:val="nil"/>
              <w:bottom w:val="single" w:sz="4" w:space="0" w:color="auto"/>
              <w:right w:val="single" w:sz="4" w:space="0" w:color="auto"/>
            </w:tcBorders>
            <w:shd w:val="clear" w:color="000000" w:fill="E7E6E6"/>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Šifra</w:t>
            </w:r>
          </w:p>
        </w:tc>
        <w:tc>
          <w:tcPr>
            <w:tcW w:w="1285" w:type="dxa"/>
            <w:tcBorders>
              <w:top w:val="single" w:sz="4" w:space="0" w:color="auto"/>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01.01.2023.</w:t>
            </w:r>
          </w:p>
        </w:tc>
        <w:tc>
          <w:tcPr>
            <w:tcW w:w="1285" w:type="dxa"/>
            <w:tcBorders>
              <w:top w:val="single" w:sz="4" w:space="0" w:color="auto"/>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31.12.2023.</w:t>
            </w:r>
          </w:p>
        </w:tc>
        <w:tc>
          <w:tcPr>
            <w:tcW w:w="890" w:type="dxa"/>
            <w:tcBorders>
              <w:top w:val="single" w:sz="4" w:space="0" w:color="auto"/>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INDEKS</w:t>
            </w:r>
          </w:p>
        </w:tc>
      </w:tr>
      <w:tr w:rsidR="001E1E3B" w:rsidRPr="001E1E3B" w:rsidTr="00085315">
        <w:trPr>
          <w:trHeight w:val="600"/>
        </w:trPr>
        <w:tc>
          <w:tcPr>
            <w:tcW w:w="886" w:type="dxa"/>
            <w:tcBorders>
              <w:top w:val="nil"/>
              <w:left w:val="single" w:sz="4" w:space="0" w:color="auto"/>
              <w:bottom w:val="single" w:sz="4" w:space="0" w:color="auto"/>
              <w:right w:val="single" w:sz="4" w:space="0" w:color="auto"/>
            </w:tcBorders>
            <w:shd w:val="clear" w:color="000000" w:fill="E7E6E6"/>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19</w:t>
            </w:r>
          </w:p>
        </w:tc>
        <w:tc>
          <w:tcPr>
            <w:tcW w:w="4163"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Rashodi budućeg razdoblja i nedospjela naplata prihoda</w:t>
            </w:r>
          </w:p>
        </w:tc>
        <w:tc>
          <w:tcPr>
            <w:tcW w:w="631"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19</w:t>
            </w:r>
          </w:p>
        </w:tc>
        <w:tc>
          <w:tcPr>
            <w:tcW w:w="1285"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523.565,61</w:t>
            </w:r>
          </w:p>
        </w:tc>
        <w:tc>
          <w:tcPr>
            <w:tcW w:w="1285"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479.824,12</w:t>
            </w:r>
          </w:p>
        </w:tc>
        <w:tc>
          <w:tcPr>
            <w:tcW w:w="89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92,44</w:t>
            </w:r>
          </w:p>
        </w:tc>
      </w:tr>
      <w:tr w:rsidR="001E1E3B" w:rsidRPr="001E1E3B" w:rsidTr="00085315">
        <w:trPr>
          <w:trHeight w:val="300"/>
        </w:trPr>
        <w:tc>
          <w:tcPr>
            <w:tcW w:w="886" w:type="dxa"/>
            <w:tcBorders>
              <w:top w:val="nil"/>
              <w:left w:val="single" w:sz="4" w:space="0" w:color="auto"/>
              <w:bottom w:val="single" w:sz="4" w:space="0" w:color="auto"/>
              <w:right w:val="single" w:sz="4" w:space="0" w:color="auto"/>
            </w:tcBorders>
            <w:shd w:val="clear" w:color="auto" w:fill="auto"/>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1911</w:t>
            </w:r>
          </w:p>
        </w:tc>
        <w:tc>
          <w:tcPr>
            <w:tcW w:w="4163"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left"/>
              <w:rPr>
                <w:rFonts w:ascii="Calibri" w:hAnsi="Calibri" w:cs="Calibri"/>
                <w:color w:val="000000"/>
                <w:szCs w:val="22"/>
                <w:lang w:eastAsia="hr-HR"/>
              </w:rPr>
            </w:pPr>
            <w:r w:rsidRPr="001E1E3B">
              <w:rPr>
                <w:rFonts w:ascii="Calibri" w:hAnsi="Calibri" w:cs="Calibri"/>
                <w:color w:val="000000"/>
                <w:szCs w:val="22"/>
                <w:lang w:eastAsia="hr-HR"/>
              </w:rPr>
              <w:t>Unaprijed plaćeni rashodi budućih razdoblja</w:t>
            </w:r>
          </w:p>
        </w:tc>
        <w:tc>
          <w:tcPr>
            <w:tcW w:w="631"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left"/>
              <w:rPr>
                <w:rFonts w:ascii="Calibri" w:hAnsi="Calibri" w:cs="Calibri"/>
                <w:color w:val="000000"/>
                <w:szCs w:val="22"/>
                <w:lang w:eastAsia="hr-HR"/>
              </w:rPr>
            </w:pPr>
            <w:r w:rsidRPr="001E1E3B">
              <w:rPr>
                <w:rFonts w:ascii="Calibri" w:hAnsi="Calibri" w:cs="Calibri"/>
                <w:color w:val="000000"/>
                <w:szCs w:val="22"/>
                <w:lang w:eastAsia="hr-HR"/>
              </w:rPr>
              <w:t>191</w:t>
            </w:r>
          </w:p>
        </w:tc>
        <w:tc>
          <w:tcPr>
            <w:tcW w:w="1285"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515.049,85</w:t>
            </w:r>
          </w:p>
        </w:tc>
        <w:tc>
          <w:tcPr>
            <w:tcW w:w="1285"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476.089,05</w:t>
            </w:r>
          </w:p>
        </w:tc>
        <w:tc>
          <w:tcPr>
            <w:tcW w:w="89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92,44</w:t>
            </w:r>
          </w:p>
        </w:tc>
      </w:tr>
      <w:tr w:rsidR="001E1E3B" w:rsidRPr="001E1E3B" w:rsidTr="00085315">
        <w:trPr>
          <w:trHeight w:val="600"/>
        </w:trPr>
        <w:tc>
          <w:tcPr>
            <w:tcW w:w="886" w:type="dxa"/>
            <w:tcBorders>
              <w:top w:val="nil"/>
              <w:left w:val="single" w:sz="4" w:space="0" w:color="auto"/>
              <w:bottom w:val="single" w:sz="4" w:space="0" w:color="auto"/>
              <w:right w:val="single" w:sz="4" w:space="0" w:color="auto"/>
            </w:tcBorders>
            <w:shd w:val="clear" w:color="auto" w:fill="auto"/>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191111</w:t>
            </w:r>
          </w:p>
        </w:tc>
        <w:tc>
          <w:tcPr>
            <w:tcW w:w="4163"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left"/>
              <w:rPr>
                <w:rFonts w:ascii="Calibri" w:hAnsi="Calibri" w:cs="Calibri"/>
                <w:color w:val="000000"/>
                <w:szCs w:val="22"/>
                <w:lang w:eastAsia="hr-HR"/>
              </w:rPr>
            </w:pPr>
            <w:r w:rsidRPr="001E1E3B">
              <w:rPr>
                <w:rFonts w:ascii="Calibri" w:hAnsi="Calibri" w:cs="Calibri"/>
                <w:color w:val="000000"/>
                <w:szCs w:val="22"/>
                <w:lang w:eastAsia="hr-HR"/>
              </w:rPr>
              <w:t>Unaprijed plaćeni rashodi budućih razdoblja-stručna literatura i ostalo</w:t>
            </w:r>
          </w:p>
        </w:tc>
        <w:tc>
          <w:tcPr>
            <w:tcW w:w="631"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left"/>
              <w:rPr>
                <w:rFonts w:ascii="Calibri" w:hAnsi="Calibri" w:cs="Calibri"/>
                <w:color w:val="000000"/>
                <w:szCs w:val="22"/>
                <w:lang w:eastAsia="hr-HR"/>
              </w:rPr>
            </w:pPr>
            <w:r w:rsidRPr="001E1E3B">
              <w:rPr>
                <w:rFonts w:ascii="Calibri" w:hAnsi="Calibri" w:cs="Calibri"/>
                <w:color w:val="000000"/>
                <w:szCs w:val="22"/>
                <w:lang w:eastAsia="hr-HR"/>
              </w:rPr>
              <w:t>193</w:t>
            </w:r>
          </w:p>
        </w:tc>
        <w:tc>
          <w:tcPr>
            <w:tcW w:w="1285"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8.515,76</w:t>
            </w:r>
          </w:p>
        </w:tc>
        <w:tc>
          <w:tcPr>
            <w:tcW w:w="1285"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3.735,07</w:t>
            </w:r>
          </w:p>
        </w:tc>
        <w:tc>
          <w:tcPr>
            <w:tcW w:w="89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0,00</w:t>
            </w:r>
          </w:p>
        </w:tc>
      </w:tr>
    </w:tbl>
    <w:p w:rsidR="001E1E3B" w:rsidRDefault="001E1E3B" w:rsidP="008045BC">
      <w:pPr>
        <w:rPr>
          <w:rFonts w:ascii="Calibri" w:hAnsi="Calibri" w:cs="Calibri"/>
          <w:b/>
          <w:bCs/>
          <w:color w:val="000000"/>
          <w:szCs w:val="22"/>
          <w:lang w:eastAsia="hr-HR"/>
        </w:rPr>
      </w:pPr>
    </w:p>
    <w:p w:rsidR="008045BC" w:rsidRDefault="008045BC" w:rsidP="008045BC">
      <w:pPr>
        <w:rPr>
          <w:b/>
        </w:rPr>
      </w:pPr>
      <w:r w:rsidRPr="003538F2">
        <w:rPr>
          <w:b/>
        </w:rPr>
        <w:lastRenderedPageBreak/>
        <w:t>Bilješka broj 3</w:t>
      </w:r>
      <w:r>
        <w:rPr>
          <w:b/>
        </w:rPr>
        <w:t>.</w:t>
      </w:r>
      <w:r w:rsidRPr="003538F2">
        <w:rPr>
          <w:b/>
        </w:rPr>
        <w:t xml:space="preserve"> – Obveze i vlastiti izvori (</w:t>
      </w:r>
      <w:r w:rsidR="00955CA0">
        <w:rPr>
          <w:b/>
        </w:rPr>
        <w:t>Šifra B003</w:t>
      </w:r>
      <w:r w:rsidRPr="003538F2">
        <w:rPr>
          <w:b/>
        </w:rPr>
        <w:t>)</w:t>
      </w:r>
    </w:p>
    <w:p w:rsidR="00C52551" w:rsidRDefault="00C52551" w:rsidP="008045BC">
      <w:pPr>
        <w:rPr>
          <w:b/>
        </w:rPr>
      </w:pPr>
    </w:p>
    <w:p w:rsidR="008045BC" w:rsidRPr="003538F2" w:rsidRDefault="008045BC" w:rsidP="008045BC">
      <w:pPr>
        <w:rPr>
          <w:b/>
        </w:rPr>
      </w:pPr>
    </w:p>
    <w:p w:rsidR="006147CC" w:rsidRDefault="008045BC" w:rsidP="008045BC">
      <w:pPr>
        <w:autoSpaceDE w:val="0"/>
        <w:autoSpaceDN w:val="0"/>
        <w:adjustRightInd w:val="0"/>
      </w:pPr>
      <w:r w:rsidRPr="003538F2">
        <w:t>Obveze i vlastiti izvori na dan 31.12.20</w:t>
      </w:r>
      <w:r>
        <w:t>2</w:t>
      </w:r>
      <w:r w:rsidR="00B42773">
        <w:t>3</w:t>
      </w:r>
      <w:r w:rsidRPr="003538F2">
        <w:t xml:space="preserve"> g. iznose </w:t>
      </w:r>
      <w:r w:rsidR="00B42773" w:rsidRPr="00B42773">
        <w:t>111.546.516,85</w:t>
      </w:r>
      <w:r w:rsidR="00B42773">
        <w:t>eur</w:t>
      </w:r>
      <w:r w:rsidRPr="003538F2">
        <w:t xml:space="preserve">  i povećani  su u odnosu na 01.01.20</w:t>
      </w:r>
      <w:r>
        <w:t>2</w:t>
      </w:r>
      <w:r w:rsidR="004E3897">
        <w:t>3</w:t>
      </w:r>
      <w:r w:rsidRPr="003538F2">
        <w:t xml:space="preserve">. godinu za </w:t>
      </w:r>
      <w:r w:rsidR="004E3897">
        <w:t>15,9</w:t>
      </w:r>
      <w:r w:rsidR="00955CA0">
        <w:t>%.</w:t>
      </w:r>
    </w:p>
    <w:p w:rsidR="006147CC" w:rsidRDefault="006147CC" w:rsidP="008045BC">
      <w:pPr>
        <w:autoSpaceDE w:val="0"/>
        <w:autoSpaceDN w:val="0"/>
        <w:adjustRightInd w:val="0"/>
      </w:pPr>
    </w:p>
    <w:p w:rsidR="00C52551" w:rsidRDefault="008045BC" w:rsidP="00C52551">
      <w:pPr>
        <w:autoSpaceDE w:val="0"/>
        <w:autoSpaceDN w:val="0"/>
        <w:adjustRightInd w:val="0"/>
      </w:pPr>
      <w:r w:rsidRPr="003538F2">
        <w:t xml:space="preserve">Obveze u iznosu od </w:t>
      </w:r>
      <w:r w:rsidR="004E3897" w:rsidRPr="004E3897">
        <w:t>19.748.371,45</w:t>
      </w:r>
      <w:r w:rsidR="004E3897">
        <w:t xml:space="preserve">eur </w:t>
      </w:r>
      <w:r w:rsidRPr="003538F2">
        <w:t>(</w:t>
      </w:r>
      <w:r w:rsidR="00955CA0">
        <w:t>Šifra2</w:t>
      </w:r>
      <w:r w:rsidRPr="003538F2">
        <w:t xml:space="preserve">) </w:t>
      </w:r>
      <w:r w:rsidR="00955CA0">
        <w:t xml:space="preserve">smanjene </w:t>
      </w:r>
      <w:r w:rsidRPr="003538F2">
        <w:t>su u odnosu na 01.01.20</w:t>
      </w:r>
      <w:r>
        <w:t>2</w:t>
      </w:r>
      <w:r w:rsidR="004E3897">
        <w:t>3</w:t>
      </w:r>
      <w:r w:rsidRPr="003538F2">
        <w:t xml:space="preserve">. godine za </w:t>
      </w:r>
      <w:r w:rsidR="004E3897">
        <w:t>4,1</w:t>
      </w:r>
      <w:r w:rsidRPr="003538F2">
        <w:t>%.</w:t>
      </w:r>
      <w:r w:rsidR="00085315">
        <w:t xml:space="preserve"> </w:t>
      </w:r>
      <w:r w:rsidR="00C52551">
        <w:t>Iste sadrže o</w:t>
      </w:r>
      <w:r w:rsidRPr="003538F2">
        <w:t>bveze Istarske županije</w:t>
      </w:r>
      <w:r w:rsidR="00C52551">
        <w:t xml:space="preserve"> u </w:t>
      </w:r>
      <w:r w:rsidRPr="003538F2">
        <w:t>iznos</w:t>
      </w:r>
      <w:r w:rsidR="00C52551">
        <w:t>u od</w:t>
      </w:r>
      <w:r w:rsidRPr="003538F2">
        <w:t xml:space="preserve"> </w:t>
      </w:r>
      <w:r w:rsidR="004E3897" w:rsidRPr="004E3897">
        <w:t>19.747.239,56</w:t>
      </w:r>
      <w:r w:rsidR="004E3897">
        <w:t xml:space="preserve">eur </w:t>
      </w:r>
      <w:r w:rsidR="00C52551">
        <w:t xml:space="preserve">i </w:t>
      </w:r>
      <w:r w:rsidR="00C52551" w:rsidRPr="003538F2">
        <w:t xml:space="preserve">obveze Vijeća  </w:t>
      </w:r>
      <w:r w:rsidR="004E3897">
        <w:t>1.131,89eur</w:t>
      </w:r>
      <w:r w:rsidR="00C52551" w:rsidRPr="003538F2">
        <w:t>.</w:t>
      </w:r>
      <w:r w:rsidR="00C52551">
        <w:t xml:space="preserve"> </w:t>
      </w:r>
    </w:p>
    <w:p w:rsidR="00C52551" w:rsidRDefault="00C52551" w:rsidP="00C52551">
      <w:pPr>
        <w:autoSpaceDE w:val="0"/>
        <w:autoSpaceDN w:val="0"/>
        <w:adjustRightInd w:val="0"/>
      </w:pPr>
    </w:p>
    <w:p w:rsidR="001E1E3B" w:rsidRDefault="00C52551" w:rsidP="008045BC">
      <w:pPr>
        <w:autoSpaceDE w:val="0"/>
        <w:autoSpaceDN w:val="0"/>
        <w:adjustRightInd w:val="0"/>
      </w:pPr>
      <w:r>
        <w:t xml:space="preserve">U obavezama Istarske županije su ukalkulirani i </w:t>
      </w:r>
      <w:r w:rsidR="008045BC">
        <w:t>kontinuiran</w:t>
      </w:r>
      <w:r>
        <w:t>i</w:t>
      </w:r>
      <w:r w:rsidR="008045BC">
        <w:t xml:space="preserve"> rashod</w:t>
      </w:r>
      <w:r>
        <w:t>i</w:t>
      </w:r>
      <w:r w:rsidR="008045BC">
        <w:t xml:space="preserve"> u iznosu od </w:t>
      </w:r>
      <w:r w:rsidR="001E1E3B" w:rsidRPr="001E1E3B">
        <w:t>7.226,17</w:t>
      </w:r>
      <w:r w:rsidR="001E1E3B">
        <w:t>eur</w:t>
      </w:r>
    </w:p>
    <w:p w:rsidR="001E1E3B" w:rsidRDefault="001E1E3B" w:rsidP="008045BC">
      <w:pPr>
        <w:autoSpaceDE w:val="0"/>
        <w:autoSpaceDN w:val="0"/>
        <w:adjustRightInd w:val="0"/>
      </w:pPr>
    </w:p>
    <w:p w:rsidR="006147CC" w:rsidRDefault="009143EB" w:rsidP="008045BC">
      <w:pPr>
        <w:autoSpaceDE w:val="0"/>
        <w:autoSpaceDN w:val="0"/>
        <w:adjustRightInd w:val="0"/>
      </w:pPr>
      <w:r>
        <w:t>S</w:t>
      </w:r>
      <w:r w:rsidR="00C52551">
        <w:t>truktura obveza Istarske županije dana je u nastavku.</w:t>
      </w:r>
    </w:p>
    <w:p w:rsidR="00297721" w:rsidRDefault="00297721" w:rsidP="008045BC">
      <w:pPr>
        <w:autoSpaceDE w:val="0"/>
        <w:autoSpaceDN w:val="0"/>
        <w:adjustRightInd w:val="0"/>
      </w:pPr>
    </w:p>
    <w:p w:rsidR="00C52551" w:rsidRDefault="00C52551" w:rsidP="00C52551">
      <w:pPr>
        <w:rPr>
          <w:rFonts w:ascii="Calibri" w:hAnsi="Calibri" w:cs="Calibri"/>
          <w:b/>
          <w:bCs/>
          <w:color w:val="000000"/>
          <w:szCs w:val="22"/>
          <w:lang w:eastAsia="hr-HR"/>
        </w:rPr>
      </w:pPr>
      <w:r w:rsidRPr="00C52551">
        <w:rPr>
          <w:rFonts w:ascii="Calibri" w:hAnsi="Calibri" w:cs="Calibri"/>
          <w:b/>
          <w:bCs/>
          <w:color w:val="000000"/>
          <w:szCs w:val="22"/>
          <w:lang w:eastAsia="hr-HR"/>
        </w:rPr>
        <w:t xml:space="preserve">Tablica: </w:t>
      </w:r>
      <w:r>
        <w:rPr>
          <w:rFonts w:ascii="Calibri" w:hAnsi="Calibri" w:cs="Calibri"/>
          <w:b/>
          <w:bCs/>
          <w:color w:val="000000"/>
          <w:szCs w:val="22"/>
          <w:lang w:eastAsia="hr-HR"/>
        </w:rPr>
        <w:t xml:space="preserve">Struktura obaveza </w:t>
      </w:r>
      <w:r w:rsidR="00E40404">
        <w:rPr>
          <w:rFonts w:ascii="Calibri" w:hAnsi="Calibri" w:cs="Calibri"/>
          <w:b/>
          <w:bCs/>
          <w:color w:val="000000"/>
          <w:szCs w:val="22"/>
          <w:lang w:eastAsia="hr-HR"/>
        </w:rPr>
        <w:t xml:space="preserve">Istarske županije </w:t>
      </w:r>
      <w:r>
        <w:rPr>
          <w:rFonts w:ascii="Calibri" w:hAnsi="Calibri" w:cs="Calibri"/>
          <w:b/>
          <w:bCs/>
          <w:color w:val="000000"/>
          <w:szCs w:val="22"/>
          <w:lang w:eastAsia="hr-HR"/>
        </w:rPr>
        <w:t>na dan 31.12.202</w:t>
      </w:r>
      <w:r w:rsidR="001E1E3B">
        <w:rPr>
          <w:rFonts w:ascii="Calibri" w:hAnsi="Calibri" w:cs="Calibri"/>
          <w:b/>
          <w:bCs/>
          <w:color w:val="000000"/>
          <w:szCs w:val="22"/>
          <w:lang w:eastAsia="hr-HR"/>
        </w:rPr>
        <w:t>3</w:t>
      </w:r>
      <w:r>
        <w:rPr>
          <w:rFonts w:ascii="Calibri" w:hAnsi="Calibri" w:cs="Calibri"/>
          <w:b/>
          <w:bCs/>
          <w:color w:val="000000"/>
          <w:szCs w:val="22"/>
          <w:lang w:eastAsia="hr-HR"/>
        </w:rPr>
        <w:t>. godine</w:t>
      </w:r>
    </w:p>
    <w:tbl>
      <w:tblPr>
        <w:tblW w:w="8080" w:type="dxa"/>
        <w:tblLook w:val="04A0" w:firstRow="1" w:lastRow="0" w:firstColumn="1" w:lastColumn="0" w:noHBand="0" w:noVBand="1"/>
      </w:tblPr>
      <w:tblGrid>
        <w:gridCol w:w="888"/>
        <w:gridCol w:w="2680"/>
        <w:gridCol w:w="631"/>
        <w:gridCol w:w="1506"/>
        <w:gridCol w:w="1506"/>
        <w:gridCol w:w="890"/>
      </w:tblGrid>
      <w:tr w:rsidR="001E1E3B" w:rsidRPr="001E1E3B" w:rsidTr="001E1E3B">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E7E6E6"/>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KONTO</w:t>
            </w:r>
          </w:p>
        </w:tc>
        <w:tc>
          <w:tcPr>
            <w:tcW w:w="2680" w:type="dxa"/>
            <w:tcBorders>
              <w:top w:val="single" w:sz="4" w:space="0" w:color="auto"/>
              <w:left w:val="nil"/>
              <w:bottom w:val="single" w:sz="4" w:space="0" w:color="auto"/>
              <w:right w:val="single" w:sz="4" w:space="0" w:color="auto"/>
            </w:tcBorders>
            <w:shd w:val="clear" w:color="000000" w:fill="E7E6E6"/>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OPIS</w:t>
            </w:r>
          </w:p>
        </w:tc>
        <w:tc>
          <w:tcPr>
            <w:tcW w:w="520" w:type="dxa"/>
            <w:tcBorders>
              <w:top w:val="single" w:sz="4" w:space="0" w:color="auto"/>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Šifra</w:t>
            </w:r>
          </w:p>
        </w:tc>
        <w:tc>
          <w:tcPr>
            <w:tcW w:w="1420" w:type="dxa"/>
            <w:tcBorders>
              <w:top w:val="single" w:sz="4" w:space="0" w:color="auto"/>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01.01.2023.</w:t>
            </w:r>
          </w:p>
        </w:tc>
        <w:tc>
          <w:tcPr>
            <w:tcW w:w="1440" w:type="dxa"/>
            <w:tcBorders>
              <w:top w:val="single" w:sz="4" w:space="0" w:color="auto"/>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31.12.2023.</w:t>
            </w:r>
          </w:p>
        </w:tc>
        <w:tc>
          <w:tcPr>
            <w:tcW w:w="1240" w:type="dxa"/>
            <w:tcBorders>
              <w:top w:val="single" w:sz="4" w:space="0" w:color="auto"/>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INDEKS</w:t>
            </w:r>
          </w:p>
        </w:tc>
      </w:tr>
      <w:tr w:rsidR="001E1E3B" w:rsidRPr="001E1E3B" w:rsidTr="001E1E3B">
        <w:trPr>
          <w:trHeight w:val="300"/>
        </w:trPr>
        <w:tc>
          <w:tcPr>
            <w:tcW w:w="780" w:type="dxa"/>
            <w:tcBorders>
              <w:top w:val="nil"/>
              <w:left w:val="single" w:sz="4" w:space="0" w:color="auto"/>
              <w:bottom w:val="single" w:sz="4" w:space="0" w:color="auto"/>
              <w:right w:val="single" w:sz="4" w:space="0" w:color="auto"/>
            </w:tcBorders>
            <w:shd w:val="clear" w:color="000000" w:fill="E7E6E6"/>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2</w:t>
            </w:r>
          </w:p>
        </w:tc>
        <w:tc>
          <w:tcPr>
            <w:tcW w:w="268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Obveze</w:t>
            </w:r>
          </w:p>
        </w:tc>
        <w:tc>
          <w:tcPr>
            <w:tcW w:w="52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 xml:space="preserve"> </w:t>
            </w:r>
          </w:p>
        </w:tc>
        <w:tc>
          <w:tcPr>
            <w:tcW w:w="142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20.582.865,77</w:t>
            </w:r>
          </w:p>
        </w:tc>
        <w:tc>
          <w:tcPr>
            <w:tcW w:w="144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19.747.239,56</w:t>
            </w:r>
          </w:p>
        </w:tc>
        <w:tc>
          <w:tcPr>
            <w:tcW w:w="124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104,23</w:t>
            </w:r>
          </w:p>
        </w:tc>
      </w:tr>
      <w:tr w:rsidR="001E1E3B" w:rsidRPr="001E1E3B" w:rsidTr="001E1E3B">
        <w:trPr>
          <w:trHeight w:val="600"/>
        </w:trPr>
        <w:tc>
          <w:tcPr>
            <w:tcW w:w="780" w:type="dxa"/>
            <w:tcBorders>
              <w:top w:val="nil"/>
              <w:left w:val="single" w:sz="4" w:space="0" w:color="auto"/>
              <w:bottom w:val="single" w:sz="4" w:space="0" w:color="auto"/>
              <w:right w:val="single" w:sz="4" w:space="0" w:color="auto"/>
            </w:tcBorders>
            <w:shd w:val="clear" w:color="000000" w:fill="E7E6E6"/>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23</w:t>
            </w:r>
          </w:p>
        </w:tc>
        <w:tc>
          <w:tcPr>
            <w:tcW w:w="268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Obveze za rashode poslovanja</w:t>
            </w:r>
          </w:p>
        </w:tc>
        <w:tc>
          <w:tcPr>
            <w:tcW w:w="520" w:type="dxa"/>
            <w:tcBorders>
              <w:top w:val="nil"/>
              <w:left w:val="nil"/>
              <w:bottom w:val="single" w:sz="4" w:space="0" w:color="auto"/>
              <w:right w:val="single" w:sz="4" w:space="0" w:color="auto"/>
            </w:tcBorders>
            <w:shd w:val="clear" w:color="000000" w:fill="E7E6E6"/>
            <w:vAlign w:val="center"/>
            <w:hideMark/>
          </w:tcPr>
          <w:p w:rsidR="001E1E3B" w:rsidRPr="001E1E3B" w:rsidRDefault="001E1E3B" w:rsidP="001E1E3B">
            <w:pPr>
              <w:jc w:val="center"/>
              <w:rPr>
                <w:rFonts w:ascii="Calibri" w:hAnsi="Calibri" w:cs="Calibri"/>
                <w:b/>
                <w:bCs/>
                <w:color w:val="000000"/>
                <w:szCs w:val="22"/>
                <w:lang w:eastAsia="hr-HR"/>
              </w:rPr>
            </w:pPr>
            <w:r w:rsidRPr="001E1E3B">
              <w:rPr>
                <w:rFonts w:ascii="Calibri" w:hAnsi="Calibri" w:cs="Calibri"/>
                <w:b/>
                <w:bCs/>
                <w:color w:val="000000"/>
                <w:szCs w:val="22"/>
                <w:lang w:eastAsia="hr-HR"/>
              </w:rPr>
              <w:t>23</w:t>
            </w:r>
          </w:p>
        </w:tc>
        <w:tc>
          <w:tcPr>
            <w:tcW w:w="142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3.044.809,33</w:t>
            </w:r>
          </w:p>
        </w:tc>
        <w:tc>
          <w:tcPr>
            <w:tcW w:w="144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3.419.263,72</w:t>
            </w:r>
          </w:p>
        </w:tc>
        <w:tc>
          <w:tcPr>
            <w:tcW w:w="124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89,05</w:t>
            </w:r>
          </w:p>
        </w:tc>
      </w:tr>
      <w:tr w:rsidR="001E1E3B" w:rsidRPr="001E1E3B" w:rsidTr="001E1E3B">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231</w:t>
            </w:r>
          </w:p>
        </w:tc>
        <w:tc>
          <w:tcPr>
            <w:tcW w:w="268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left"/>
              <w:rPr>
                <w:rFonts w:ascii="Calibri" w:hAnsi="Calibri" w:cs="Calibri"/>
                <w:color w:val="000000"/>
                <w:szCs w:val="22"/>
                <w:lang w:eastAsia="hr-HR"/>
              </w:rPr>
            </w:pPr>
            <w:r w:rsidRPr="001E1E3B">
              <w:rPr>
                <w:rFonts w:ascii="Calibri" w:hAnsi="Calibri" w:cs="Calibri"/>
                <w:color w:val="000000"/>
                <w:szCs w:val="22"/>
                <w:lang w:eastAsia="hr-HR"/>
              </w:rPr>
              <w:t>Obveze za zaposlene</w:t>
            </w:r>
          </w:p>
        </w:tc>
        <w:tc>
          <w:tcPr>
            <w:tcW w:w="520" w:type="dxa"/>
            <w:tcBorders>
              <w:top w:val="nil"/>
              <w:left w:val="nil"/>
              <w:bottom w:val="single" w:sz="4" w:space="0" w:color="auto"/>
              <w:right w:val="single" w:sz="4" w:space="0" w:color="auto"/>
            </w:tcBorders>
            <w:shd w:val="clear" w:color="auto" w:fill="auto"/>
            <w:vAlign w:val="center"/>
            <w:hideMark/>
          </w:tcPr>
          <w:p w:rsidR="001E1E3B" w:rsidRPr="001E1E3B" w:rsidRDefault="001E1E3B" w:rsidP="001E1E3B">
            <w:pPr>
              <w:jc w:val="center"/>
              <w:rPr>
                <w:rFonts w:ascii="Calibri" w:hAnsi="Calibri" w:cs="Calibri"/>
                <w:color w:val="000000"/>
                <w:szCs w:val="22"/>
                <w:lang w:eastAsia="hr-HR"/>
              </w:rPr>
            </w:pPr>
            <w:r w:rsidRPr="001E1E3B">
              <w:rPr>
                <w:rFonts w:ascii="Calibri" w:hAnsi="Calibri" w:cs="Calibri"/>
                <w:color w:val="000000"/>
                <w:szCs w:val="22"/>
                <w:lang w:eastAsia="hr-HR"/>
              </w:rPr>
              <w:t>231</w:t>
            </w:r>
          </w:p>
        </w:tc>
        <w:tc>
          <w:tcPr>
            <w:tcW w:w="142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578.526,75</w:t>
            </w:r>
          </w:p>
        </w:tc>
        <w:tc>
          <w:tcPr>
            <w:tcW w:w="144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765.274,23</w:t>
            </w:r>
          </w:p>
        </w:tc>
        <w:tc>
          <w:tcPr>
            <w:tcW w:w="124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75,60</w:t>
            </w:r>
          </w:p>
        </w:tc>
      </w:tr>
      <w:tr w:rsidR="001E1E3B" w:rsidRPr="001E1E3B" w:rsidTr="001E1E3B">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232</w:t>
            </w:r>
          </w:p>
        </w:tc>
        <w:tc>
          <w:tcPr>
            <w:tcW w:w="268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left"/>
              <w:rPr>
                <w:rFonts w:ascii="Calibri" w:hAnsi="Calibri" w:cs="Calibri"/>
                <w:color w:val="000000"/>
                <w:szCs w:val="22"/>
                <w:lang w:eastAsia="hr-HR"/>
              </w:rPr>
            </w:pPr>
            <w:r w:rsidRPr="001E1E3B">
              <w:rPr>
                <w:rFonts w:ascii="Calibri" w:hAnsi="Calibri" w:cs="Calibri"/>
                <w:color w:val="000000"/>
                <w:szCs w:val="22"/>
                <w:lang w:eastAsia="hr-HR"/>
              </w:rPr>
              <w:t>Obveze za materijalne rashode</w:t>
            </w:r>
          </w:p>
        </w:tc>
        <w:tc>
          <w:tcPr>
            <w:tcW w:w="520" w:type="dxa"/>
            <w:tcBorders>
              <w:top w:val="nil"/>
              <w:left w:val="nil"/>
              <w:bottom w:val="single" w:sz="4" w:space="0" w:color="auto"/>
              <w:right w:val="single" w:sz="4" w:space="0" w:color="auto"/>
            </w:tcBorders>
            <w:shd w:val="clear" w:color="auto" w:fill="auto"/>
            <w:vAlign w:val="center"/>
            <w:hideMark/>
          </w:tcPr>
          <w:p w:rsidR="001E1E3B" w:rsidRPr="001E1E3B" w:rsidRDefault="001E1E3B" w:rsidP="001E1E3B">
            <w:pPr>
              <w:jc w:val="center"/>
              <w:rPr>
                <w:rFonts w:ascii="Calibri" w:hAnsi="Calibri" w:cs="Calibri"/>
                <w:color w:val="000000"/>
                <w:szCs w:val="22"/>
                <w:lang w:eastAsia="hr-HR"/>
              </w:rPr>
            </w:pPr>
            <w:r w:rsidRPr="001E1E3B">
              <w:rPr>
                <w:rFonts w:ascii="Calibri" w:hAnsi="Calibri" w:cs="Calibri"/>
                <w:color w:val="000000"/>
                <w:szCs w:val="22"/>
                <w:lang w:eastAsia="hr-HR"/>
              </w:rPr>
              <w:t>232</w:t>
            </w:r>
          </w:p>
        </w:tc>
        <w:tc>
          <w:tcPr>
            <w:tcW w:w="142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692.026,21</w:t>
            </w:r>
          </w:p>
        </w:tc>
        <w:tc>
          <w:tcPr>
            <w:tcW w:w="144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666.994,63</w:t>
            </w:r>
          </w:p>
        </w:tc>
        <w:tc>
          <w:tcPr>
            <w:tcW w:w="124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103,75</w:t>
            </w:r>
          </w:p>
        </w:tc>
      </w:tr>
      <w:tr w:rsidR="001E1E3B" w:rsidRPr="001E1E3B" w:rsidTr="001E1E3B">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234</w:t>
            </w:r>
          </w:p>
        </w:tc>
        <w:tc>
          <w:tcPr>
            <w:tcW w:w="268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left"/>
              <w:rPr>
                <w:rFonts w:ascii="Calibri" w:hAnsi="Calibri" w:cs="Calibri"/>
                <w:color w:val="000000"/>
                <w:szCs w:val="22"/>
                <w:lang w:eastAsia="hr-HR"/>
              </w:rPr>
            </w:pPr>
            <w:r w:rsidRPr="001E1E3B">
              <w:rPr>
                <w:rFonts w:ascii="Calibri" w:hAnsi="Calibri" w:cs="Calibri"/>
                <w:color w:val="000000"/>
                <w:szCs w:val="22"/>
                <w:lang w:eastAsia="hr-HR"/>
              </w:rPr>
              <w:t>Obveze za financijske rashode</w:t>
            </w:r>
          </w:p>
        </w:tc>
        <w:tc>
          <w:tcPr>
            <w:tcW w:w="520" w:type="dxa"/>
            <w:tcBorders>
              <w:top w:val="nil"/>
              <w:left w:val="nil"/>
              <w:bottom w:val="single" w:sz="4" w:space="0" w:color="auto"/>
              <w:right w:val="single" w:sz="4" w:space="0" w:color="auto"/>
            </w:tcBorders>
            <w:shd w:val="clear" w:color="auto" w:fill="auto"/>
            <w:vAlign w:val="center"/>
            <w:hideMark/>
          </w:tcPr>
          <w:p w:rsidR="001E1E3B" w:rsidRPr="001E1E3B" w:rsidRDefault="001E1E3B" w:rsidP="001E1E3B">
            <w:pPr>
              <w:jc w:val="center"/>
              <w:rPr>
                <w:rFonts w:ascii="Calibri" w:hAnsi="Calibri" w:cs="Calibri"/>
                <w:color w:val="000000"/>
                <w:szCs w:val="22"/>
                <w:lang w:eastAsia="hr-HR"/>
              </w:rPr>
            </w:pPr>
            <w:r w:rsidRPr="001E1E3B">
              <w:rPr>
                <w:rFonts w:ascii="Calibri" w:hAnsi="Calibri" w:cs="Calibri"/>
                <w:color w:val="000000"/>
                <w:szCs w:val="22"/>
                <w:lang w:eastAsia="hr-HR"/>
              </w:rPr>
              <w:t>234</w:t>
            </w:r>
          </w:p>
        </w:tc>
        <w:tc>
          <w:tcPr>
            <w:tcW w:w="142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517.572,00</w:t>
            </w:r>
          </w:p>
        </w:tc>
        <w:tc>
          <w:tcPr>
            <w:tcW w:w="144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478.997,96</w:t>
            </w:r>
          </w:p>
        </w:tc>
        <w:tc>
          <w:tcPr>
            <w:tcW w:w="124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108,05</w:t>
            </w:r>
          </w:p>
        </w:tc>
      </w:tr>
      <w:tr w:rsidR="001E1E3B" w:rsidRPr="001E1E3B" w:rsidTr="001E1E3B">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235</w:t>
            </w:r>
          </w:p>
        </w:tc>
        <w:tc>
          <w:tcPr>
            <w:tcW w:w="268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left"/>
              <w:rPr>
                <w:rFonts w:ascii="Calibri" w:hAnsi="Calibri" w:cs="Calibri"/>
                <w:color w:val="000000"/>
                <w:szCs w:val="22"/>
                <w:lang w:eastAsia="hr-HR"/>
              </w:rPr>
            </w:pPr>
            <w:r w:rsidRPr="001E1E3B">
              <w:rPr>
                <w:rFonts w:ascii="Calibri" w:hAnsi="Calibri" w:cs="Calibri"/>
                <w:color w:val="000000"/>
                <w:szCs w:val="22"/>
                <w:lang w:eastAsia="hr-HR"/>
              </w:rPr>
              <w:t>Obveze za subvencije</w:t>
            </w:r>
          </w:p>
        </w:tc>
        <w:tc>
          <w:tcPr>
            <w:tcW w:w="520" w:type="dxa"/>
            <w:tcBorders>
              <w:top w:val="nil"/>
              <w:left w:val="nil"/>
              <w:bottom w:val="single" w:sz="4" w:space="0" w:color="auto"/>
              <w:right w:val="single" w:sz="4" w:space="0" w:color="auto"/>
            </w:tcBorders>
            <w:shd w:val="clear" w:color="auto" w:fill="auto"/>
            <w:vAlign w:val="center"/>
            <w:hideMark/>
          </w:tcPr>
          <w:p w:rsidR="001E1E3B" w:rsidRPr="001E1E3B" w:rsidRDefault="001E1E3B" w:rsidP="001E1E3B">
            <w:pPr>
              <w:jc w:val="center"/>
              <w:rPr>
                <w:rFonts w:ascii="Calibri" w:hAnsi="Calibri" w:cs="Calibri"/>
                <w:color w:val="000000"/>
                <w:szCs w:val="22"/>
                <w:lang w:eastAsia="hr-HR"/>
              </w:rPr>
            </w:pPr>
            <w:r w:rsidRPr="001E1E3B">
              <w:rPr>
                <w:rFonts w:ascii="Calibri" w:hAnsi="Calibri" w:cs="Calibri"/>
                <w:color w:val="000000"/>
                <w:szCs w:val="22"/>
                <w:lang w:eastAsia="hr-HR"/>
              </w:rPr>
              <w:t>235</w:t>
            </w:r>
          </w:p>
        </w:tc>
        <w:tc>
          <w:tcPr>
            <w:tcW w:w="142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7.611,50</w:t>
            </w:r>
          </w:p>
        </w:tc>
        <w:tc>
          <w:tcPr>
            <w:tcW w:w="144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115.817,04</w:t>
            </w:r>
          </w:p>
        </w:tc>
        <w:tc>
          <w:tcPr>
            <w:tcW w:w="124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6,57</w:t>
            </w:r>
          </w:p>
        </w:tc>
      </w:tr>
      <w:tr w:rsidR="001E1E3B" w:rsidRPr="001E1E3B" w:rsidTr="001E1E3B">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237</w:t>
            </w:r>
          </w:p>
        </w:tc>
        <w:tc>
          <w:tcPr>
            <w:tcW w:w="268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left"/>
              <w:rPr>
                <w:rFonts w:ascii="Calibri" w:hAnsi="Calibri" w:cs="Calibri"/>
                <w:color w:val="000000"/>
                <w:szCs w:val="22"/>
                <w:lang w:eastAsia="hr-HR"/>
              </w:rPr>
            </w:pPr>
            <w:r w:rsidRPr="001E1E3B">
              <w:rPr>
                <w:rFonts w:ascii="Calibri" w:hAnsi="Calibri" w:cs="Calibri"/>
                <w:color w:val="000000"/>
                <w:szCs w:val="22"/>
                <w:lang w:eastAsia="hr-HR"/>
              </w:rPr>
              <w:t>Obveze za naknade građanima i kućanstvima</w:t>
            </w:r>
          </w:p>
        </w:tc>
        <w:tc>
          <w:tcPr>
            <w:tcW w:w="520" w:type="dxa"/>
            <w:tcBorders>
              <w:top w:val="nil"/>
              <w:left w:val="nil"/>
              <w:bottom w:val="single" w:sz="4" w:space="0" w:color="auto"/>
              <w:right w:val="single" w:sz="4" w:space="0" w:color="auto"/>
            </w:tcBorders>
            <w:shd w:val="clear" w:color="auto" w:fill="auto"/>
            <w:vAlign w:val="center"/>
            <w:hideMark/>
          </w:tcPr>
          <w:p w:rsidR="001E1E3B" w:rsidRPr="001E1E3B" w:rsidRDefault="001E1E3B" w:rsidP="001E1E3B">
            <w:pPr>
              <w:jc w:val="center"/>
              <w:rPr>
                <w:rFonts w:ascii="Calibri" w:hAnsi="Calibri" w:cs="Calibri"/>
                <w:color w:val="000000"/>
                <w:szCs w:val="22"/>
                <w:lang w:eastAsia="hr-HR"/>
              </w:rPr>
            </w:pPr>
            <w:r w:rsidRPr="001E1E3B">
              <w:rPr>
                <w:rFonts w:ascii="Calibri" w:hAnsi="Calibri" w:cs="Calibri"/>
                <w:color w:val="000000"/>
                <w:szCs w:val="22"/>
                <w:lang w:eastAsia="hr-HR"/>
              </w:rPr>
              <w:t>237</w:t>
            </w:r>
          </w:p>
        </w:tc>
        <w:tc>
          <w:tcPr>
            <w:tcW w:w="142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44.359,06</w:t>
            </w:r>
          </w:p>
        </w:tc>
        <w:tc>
          <w:tcPr>
            <w:tcW w:w="144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54.268,63</w:t>
            </w:r>
          </w:p>
        </w:tc>
        <w:tc>
          <w:tcPr>
            <w:tcW w:w="124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81,74</w:t>
            </w:r>
          </w:p>
        </w:tc>
      </w:tr>
      <w:tr w:rsidR="001E1E3B" w:rsidRPr="001E1E3B" w:rsidTr="001E1E3B">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239</w:t>
            </w:r>
          </w:p>
        </w:tc>
        <w:tc>
          <w:tcPr>
            <w:tcW w:w="268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left"/>
              <w:rPr>
                <w:rFonts w:ascii="Calibri" w:hAnsi="Calibri" w:cs="Calibri"/>
                <w:color w:val="000000"/>
                <w:szCs w:val="22"/>
                <w:lang w:eastAsia="hr-HR"/>
              </w:rPr>
            </w:pPr>
            <w:r w:rsidRPr="001E1E3B">
              <w:rPr>
                <w:rFonts w:ascii="Calibri" w:hAnsi="Calibri" w:cs="Calibri"/>
                <w:color w:val="000000"/>
                <w:szCs w:val="22"/>
                <w:lang w:eastAsia="hr-HR"/>
              </w:rPr>
              <w:t>Ostale tekuće obveze</w:t>
            </w:r>
          </w:p>
        </w:tc>
        <w:tc>
          <w:tcPr>
            <w:tcW w:w="520" w:type="dxa"/>
            <w:tcBorders>
              <w:top w:val="nil"/>
              <w:left w:val="nil"/>
              <w:bottom w:val="single" w:sz="4" w:space="0" w:color="auto"/>
              <w:right w:val="single" w:sz="4" w:space="0" w:color="auto"/>
            </w:tcBorders>
            <w:shd w:val="clear" w:color="auto" w:fill="auto"/>
            <w:vAlign w:val="center"/>
            <w:hideMark/>
          </w:tcPr>
          <w:p w:rsidR="001E1E3B" w:rsidRPr="001E1E3B" w:rsidRDefault="001E1E3B" w:rsidP="001E1E3B">
            <w:pPr>
              <w:jc w:val="center"/>
              <w:rPr>
                <w:rFonts w:ascii="Calibri" w:hAnsi="Calibri" w:cs="Calibri"/>
                <w:color w:val="000000"/>
                <w:szCs w:val="22"/>
                <w:lang w:eastAsia="hr-HR"/>
              </w:rPr>
            </w:pPr>
            <w:r w:rsidRPr="001E1E3B">
              <w:rPr>
                <w:rFonts w:ascii="Calibri" w:hAnsi="Calibri" w:cs="Calibri"/>
                <w:color w:val="000000"/>
                <w:szCs w:val="22"/>
                <w:lang w:eastAsia="hr-HR"/>
              </w:rPr>
              <w:t>239</w:t>
            </w:r>
          </w:p>
        </w:tc>
        <w:tc>
          <w:tcPr>
            <w:tcW w:w="142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1.204.713,81</w:t>
            </w:r>
          </w:p>
        </w:tc>
        <w:tc>
          <w:tcPr>
            <w:tcW w:w="144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1.337.911,23</w:t>
            </w:r>
          </w:p>
        </w:tc>
        <w:tc>
          <w:tcPr>
            <w:tcW w:w="1240" w:type="dxa"/>
            <w:tcBorders>
              <w:top w:val="nil"/>
              <w:left w:val="nil"/>
              <w:bottom w:val="single" w:sz="4" w:space="0" w:color="auto"/>
              <w:right w:val="single" w:sz="4" w:space="0" w:color="auto"/>
            </w:tcBorders>
            <w:shd w:val="clear" w:color="auto" w:fill="auto"/>
            <w:hideMark/>
          </w:tcPr>
          <w:p w:rsidR="001E1E3B" w:rsidRPr="001E1E3B" w:rsidRDefault="001E1E3B" w:rsidP="001E1E3B">
            <w:pPr>
              <w:jc w:val="right"/>
              <w:rPr>
                <w:rFonts w:ascii="Calibri" w:hAnsi="Calibri" w:cs="Calibri"/>
                <w:color w:val="000000"/>
                <w:szCs w:val="22"/>
                <w:lang w:eastAsia="hr-HR"/>
              </w:rPr>
            </w:pPr>
            <w:r w:rsidRPr="001E1E3B">
              <w:rPr>
                <w:rFonts w:ascii="Calibri" w:hAnsi="Calibri" w:cs="Calibri"/>
                <w:color w:val="000000"/>
                <w:szCs w:val="22"/>
                <w:lang w:eastAsia="hr-HR"/>
              </w:rPr>
              <w:t>90,04</w:t>
            </w:r>
          </w:p>
        </w:tc>
      </w:tr>
      <w:tr w:rsidR="001E1E3B" w:rsidRPr="001E1E3B" w:rsidTr="001E1E3B">
        <w:trPr>
          <w:trHeight w:val="600"/>
        </w:trPr>
        <w:tc>
          <w:tcPr>
            <w:tcW w:w="780" w:type="dxa"/>
            <w:tcBorders>
              <w:top w:val="nil"/>
              <w:left w:val="single" w:sz="4" w:space="0" w:color="auto"/>
              <w:bottom w:val="single" w:sz="4" w:space="0" w:color="auto"/>
              <w:right w:val="single" w:sz="4" w:space="0" w:color="auto"/>
            </w:tcBorders>
            <w:shd w:val="clear" w:color="000000" w:fill="E7E6E6"/>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24</w:t>
            </w:r>
          </w:p>
        </w:tc>
        <w:tc>
          <w:tcPr>
            <w:tcW w:w="268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Obveze za nabavu nefinancijske imovine</w:t>
            </w:r>
          </w:p>
        </w:tc>
        <w:tc>
          <w:tcPr>
            <w:tcW w:w="520" w:type="dxa"/>
            <w:tcBorders>
              <w:top w:val="nil"/>
              <w:left w:val="nil"/>
              <w:bottom w:val="single" w:sz="4" w:space="0" w:color="auto"/>
              <w:right w:val="single" w:sz="4" w:space="0" w:color="auto"/>
            </w:tcBorders>
            <w:shd w:val="clear" w:color="000000" w:fill="E7E6E6"/>
            <w:vAlign w:val="center"/>
            <w:hideMark/>
          </w:tcPr>
          <w:p w:rsidR="001E1E3B" w:rsidRPr="001E1E3B" w:rsidRDefault="001E1E3B" w:rsidP="001E1E3B">
            <w:pPr>
              <w:jc w:val="center"/>
              <w:rPr>
                <w:rFonts w:ascii="Calibri" w:hAnsi="Calibri" w:cs="Calibri"/>
                <w:b/>
                <w:bCs/>
                <w:color w:val="000000"/>
                <w:szCs w:val="22"/>
                <w:lang w:eastAsia="hr-HR"/>
              </w:rPr>
            </w:pPr>
            <w:r w:rsidRPr="001E1E3B">
              <w:rPr>
                <w:rFonts w:ascii="Calibri" w:hAnsi="Calibri" w:cs="Calibri"/>
                <w:b/>
                <w:bCs/>
                <w:color w:val="000000"/>
                <w:szCs w:val="22"/>
                <w:lang w:eastAsia="hr-HR"/>
              </w:rPr>
              <w:t>24</w:t>
            </w:r>
          </w:p>
        </w:tc>
        <w:tc>
          <w:tcPr>
            <w:tcW w:w="142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443.563,45</w:t>
            </w:r>
          </w:p>
        </w:tc>
        <w:tc>
          <w:tcPr>
            <w:tcW w:w="144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533.501,51</w:t>
            </w:r>
          </w:p>
        </w:tc>
        <w:tc>
          <w:tcPr>
            <w:tcW w:w="124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83,14</w:t>
            </w:r>
          </w:p>
        </w:tc>
      </w:tr>
      <w:tr w:rsidR="001E1E3B" w:rsidRPr="001E1E3B" w:rsidTr="001E1E3B">
        <w:trPr>
          <w:trHeight w:val="600"/>
        </w:trPr>
        <w:tc>
          <w:tcPr>
            <w:tcW w:w="780" w:type="dxa"/>
            <w:tcBorders>
              <w:top w:val="nil"/>
              <w:left w:val="single" w:sz="4" w:space="0" w:color="auto"/>
              <w:bottom w:val="single" w:sz="4" w:space="0" w:color="auto"/>
              <w:right w:val="single" w:sz="4" w:space="0" w:color="auto"/>
            </w:tcBorders>
            <w:shd w:val="clear" w:color="000000" w:fill="E7E6E6"/>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26</w:t>
            </w:r>
          </w:p>
        </w:tc>
        <w:tc>
          <w:tcPr>
            <w:tcW w:w="268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Obveze za kredite i zajmove</w:t>
            </w:r>
          </w:p>
        </w:tc>
        <w:tc>
          <w:tcPr>
            <w:tcW w:w="520" w:type="dxa"/>
            <w:tcBorders>
              <w:top w:val="nil"/>
              <w:left w:val="nil"/>
              <w:bottom w:val="single" w:sz="4" w:space="0" w:color="auto"/>
              <w:right w:val="single" w:sz="4" w:space="0" w:color="auto"/>
            </w:tcBorders>
            <w:shd w:val="clear" w:color="000000" w:fill="E7E6E6"/>
            <w:vAlign w:val="center"/>
            <w:hideMark/>
          </w:tcPr>
          <w:p w:rsidR="001E1E3B" w:rsidRPr="001E1E3B" w:rsidRDefault="001E1E3B" w:rsidP="001E1E3B">
            <w:pPr>
              <w:jc w:val="center"/>
              <w:rPr>
                <w:rFonts w:ascii="Calibri" w:hAnsi="Calibri" w:cs="Calibri"/>
                <w:b/>
                <w:bCs/>
                <w:color w:val="000000"/>
                <w:szCs w:val="22"/>
                <w:lang w:eastAsia="hr-HR"/>
              </w:rPr>
            </w:pPr>
            <w:r w:rsidRPr="001E1E3B">
              <w:rPr>
                <w:rFonts w:ascii="Calibri" w:hAnsi="Calibri" w:cs="Calibri"/>
                <w:b/>
                <w:bCs/>
                <w:color w:val="000000"/>
                <w:szCs w:val="22"/>
                <w:lang w:eastAsia="hr-HR"/>
              </w:rPr>
              <w:t>26</w:t>
            </w:r>
          </w:p>
        </w:tc>
        <w:tc>
          <w:tcPr>
            <w:tcW w:w="142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17.093.285,44</w:t>
            </w:r>
          </w:p>
        </w:tc>
        <w:tc>
          <w:tcPr>
            <w:tcW w:w="144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15.787.248,16</w:t>
            </w:r>
          </w:p>
        </w:tc>
        <w:tc>
          <w:tcPr>
            <w:tcW w:w="124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108,27</w:t>
            </w:r>
          </w:p>
        </w:tc>
      </w:tr>
      <w:tr w:rsidR="001E1E3B" w:rsidRPr="001E1E3B" w:rsidTr="001E1E3B">
        <w:trPr>
          <w:trHeight w:val="300"/>
        </w:trPr>
        <w:tc>
          <w:tcPr>
            <w:tcW w:w="780" w:type="dxa"/>
            <w:tcBorders>
              <w:top w:val="nil"/>
              <w:left w:val="single" w:sz="4" w:space="0" w:color="auto"/>
              <w:bottom w:val="single" w:sz="4" w:space="0" w:color="auto"/>
              <w:right w:val="single" w:sz="4" w:space="0" w:color="auto"/>
            </w:tcBorders>
            <w:shd w:val="clear" w:color="000000" w:fill="E7E6E6"/>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29</w:t>
            </w:r>
          </w:p>
        </w:tc>
        <w:tc>
          <w:tcPr>
            <w:tcW w:w="2680" w:type="dxa"/>
            <w:tcBorders>
              <w:top w:val="nil"/>
              <w:left w:val="nil"/>
              <w:bottom w:val="single" w:sz="4" w:space="0" w:color="auto"/>
              <w:right w:val="single" w:sz="4" w:space="0" w:color="auto"/>
            </w:tcBorders>
            <w:shd w:val="clear" w:color="000000" w:fill="E7E6E6"/>
            <w:noWrap/>
            <w:vAlign w:val="bottom"/>
            <w:hideMark/>
          </w:tcPr>
          <w:p w:rsidR="001E1E3B" w:rsidRPr="001E1E3B" w:rsidRDefault="001E1E3B" w:rsidP="001E1E3B">
            <w:pPr>
              <w:jc w:val="left"/>
              <w:rPr>
                <w:rFonts w:ascii="Calibri" w:hAnsi="Calibri" w:cs="Calibri"/>
                <w:b/>
                <w:bCs/>
                <w:color w:val="000000"/>
                <w:szCs w:val="22"/>
                <w:lang w:eastAsia="hr-HR"/>
              </w:rPr>
            </w:pPr>
            <w:r w:rsidRPr="001E1E3B">
              <w:rPr>
                <w:rFonts w:ascii="Calibri" w:hAnsi="Calibri" w:cs="Calibri"/>
                <w:b/>
                <w:bCs/>
                <w:color w:val="000000"/>
                <w:szCs w:val="22"/>
                <w:lang w:eastAsia="hr-HR"/>
              </w:rPr>
              <w:t>Odgođeno plaćanje rashoda</w:t>
            </w:r>
          </w:p>
        </w:tc>
        <w:tc>
          <w:tcPr>
            <w:tcW w:w="520" w:type="dxa"/>
            <w:tcBorders>
              <w:top w:val="nil"/>
              <w:left w:val="nil"/>
              <w:bottom w:val="single" w:sz="4" w:space="0" w:color="auto"/>
              <w:right w:val="single" w:sz="4" w:space="0" w:color="auto"/>
            </w:tcBorders>
            <w:shd w:val="clear" w:color="000000" w:fill="E7E6E6"/>
            <w:vAlign w:val="center"/>
            <w:hideMark/>
          </w:tcPr>
          <w:p w:rsidR="001E1E3B" w:rsidRPr="001E1E3B" w:rsidRDefault="001E1E3B" w:rsidP="001E1E3B">
            <w:pPr>
              <w:jc w:val="center"/>
              <w:rPr>
                <w:rFonts w:ascii="Calibri" w:hAnsi="Calibri" w:cs="Calibri"/>
                <w:b/>
                <w:bCs/>
                <w:color w:val="000000"/>
                <w:szCs w:val="22"/>
                <w:lang w:eastAsia="hr-HR"/>
              </w:rPr>
            </w:pPr>
            <w:r w:rsidRPr="001E1E3B">
              <w:rPr>
                <w:rFonts w:ascii="Calibri" w:hAnsi="Calibri" w:cs="Calibri"/>
                <w:b/>
                <w:bCs/>
                <w:color w:val="000000"/>
                <w:szCs w:val="22"/>
                <w:lang w:eastAsia="hr-HR"/>
              </w:rPr>
              <w:t>29</w:t>
            </w:r>
          </w:p>
        </w:tc>
        <w:tc>
          <w:tcPr>
            <w:tcW w:w="142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1.207,55</w:t>
            </w:r>
          </w:p>
        </w:tc>
        <w:tc>
          <w:tcPr>
            <w:tcW w:w="144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7.226,17</w:t>
            </w:r>
          </w:p>
        </w:tc>
        <w:tc>
          <w:tcPr>
            <w:tcW w:w="1240" w:type="dxa"/>
            <w:tcBorders>
              <w:top w:val="nil"/>
              <w:left w:val="nil"/>
              <w:bottom w:val="single" w:sz="4" w:space="0" w:color="auto"/>
              <w:right w:val="single" w:sz="4" w:space="0" w:color="auto"/>
            </w:tcBorders>
            <w:shd w:val="clear" w:color="000000" w:fill="E7E6E6"/>
            <w:hideMark/>
          </w:tcPr>
          <w:p w:rsidR="001E1E3B" w:rsidRPr="001E1E3B" w:rsidRDefault="001E1E3B" w:rsidP="001E1E3B">
            <w:pPr>
              <w:jc w:val="right"/>
              <w:rPr>
                <w:rFonts w:ascii="Calibri" w:hAnsi="Calibri" w:cs="Calibri"/>
                <w:b/>
                <w:bCs/>
                <w:color w:val="000000"/>
                <w:szCs w:val="22"/>
                <w:lang w:eastAsia="hr-HR"/>
              </w:rPr>
            </w:pPr>
            <w:r w:rsidRPr="001E1E3B">
              <w:rPr>
                <w:rFonts w:ascii="Calibri" w:hAnsi="Calibri" w:cs="Calibri"/>
                <w:b/>
                <w:bCs/>
                <w:color w:val="000000"/>
                <w:szCs w:val="22"/>
                <w:lang w:eastAsia="hr-HR"/>
              </w:rPr>
              <w:t>16,71</w:t>
            </w:r>
          </w:p>
        </w:tc>
      </w:tr>
    </w:tbl>
    <w:p w:rsidR="001E1E3B" w:rsidRPr="003538F2" w:rsidRDefault="001E1E3B" w:rsidP="00C52551"/>
    <w:p w:rsidR="00297721" w:rsidRDefault="00297721" w:rsidP="008045BC">
      <w:pPr>
        <w:autoSpaceDE w:val="0"/>
        <w:autoSpaceDN w:val="0"/>
        <w:adjustRightInd w:val="0"/>
      </w:pPr>
    </w:p>
    <w:p w:rsidR="008045BC" w:rsidRPr="00B661F3" w:rsidRDefault="008045BC" w:rsidP="0078551E">
      <w:r w:rsidRPr="00B661F3">
        <w:t>U okviru obveza Istarske županije</w:t>
      </w:r>
      <w:r w:rsidR="00593C5F" w:rsidRPr="00B661F3">
        <w:t>,</w:t>
      </w:r>
      <w:r w:rsidRPr="00B661F3">
        <w:t xml:space="preserve"> obveze za rashode poslovanja iznose </w:t>
      </w:r>
      <w:r w:rsidR="0078551E" w:rsidRPr="00B661F3">
        <w:t>3.419.263,72</w:t>
      </w:r>
      <w:r w:rsidR="006A0B91" w:rsidRPr="00B661F3">
        <w:t>eur</w:t>
      </w:r>
      <w:r w:rsidRPr="00B661F3">
        <w:t xml:space="preserve">, </w:t>
      </w:r>
      <w:r w:rsidR="00D52C5D" w:rsidRPr="00B661F3">
        <w:t xml:space="preserve">a odnose se na </w:t>
      </w:r>
      <w:r w:rsidR="00856AD6" w:rsidRPr="00B661F3">
        <w:t xml:space="preserve">obveze za zaposlene iznose </w:t>
      </w:r>
      <w:r w:rsidR="006A0B91" w:rsidRPr="00B661F3">
        <w:t>765.274,23eur</w:t>
      </w:r>
      <w:r w:rsidR="00856AD6" w:rsidRPr="00B661F3">
        <w:t xml:space="preserve">, obaveze za materijalne rashode iznose </w:t>
      </w:r>
      <w:r w:rsidR="0078551E" w:rsidRPr="00B661F3">
        <w:t>666.994,63</w:t>
      </w:r>
      <w:r w:rsidR="006A0B91" w:rsidRPr="00B661F3">
        <w:t>eur</w:t>
      </w:r>
      <w:r w:rsidR="0078551E" w:rsidRPr="00B661F3">
        <w:t>. Zatim</w:t>
      </w:r>
      <w:r w:rsidR="00856AD6" w:rsidRPr="00B661F3">
        <w:t xml:space="preserve"> </w:t>
      </w:r>
      <w:r w:rsidRPr="00B661F3">
        <w:t xml:space="preserve">obaveze za financijske rashode </w:t>
      </w:r>
      <w:r w:rsidR="0078551E" w:rsidRPr="00B661F3">
        <w:t xml:space="preserve">iznose </w:t>
      </w:r>
      <w:r w:rsidR="006A0B91" w:rsidRPr="00B661F3">
        <w:t>47</w:t>
      </w:r>
      <w:r w:rsidR="004E5911">
        <w:t>8</w:t>
      </w:r>
      <w:r w:rsidR="006A0B91" w:rsidRPr="00B661F3">
        <w:t>.</w:t>
      </w:r>
      <w:r w:rsidR="004E5911">
        <w:t>997,96</w:t>
      </w:r>
      <w:r w:rsidR="006A0B91" w:rsidRPr="00B661F3">
        <w:t>eur</w:t>
      </w:r>
      <w:r w:rsidRPr="00B661F3">
        <w:t xml:space="preserve">, obveze za subvencije </w:t>
      </w:r>
      <w:r w:rsidR="006A0B91" w:rsidRPr="00B661F3">
        <w:t>115.817,04eur</w:t>
      </w:r>
      <w:r w:rsidRPr="00B661F3">
        <w:t>, obveze za naknade građanima i kućanstvima</w:t>
      </w:r>
      <w:r w:rsidR="00856AD6" w:rsidRPr="00B661F3">
        <w:t xml:space="preserve"> </w:t>
      </w:r>
      <w:r w:rsidR="0078551E" w:rsidRPr="00B661F3">
        <w:t>54.268,63</w:t>
      </w:r>
      <w:r w:rsidR="006A0B91" w:rsidRPr="00B661F3">
        <w:t xml:space="preserve">eur </w:t>
      </w:r>
      <w:r w:rsidR="00D52C5D" w:rsidRPr="00B661F3">
        <w:t xml:space="preserve">i </w:t>
      </w:r>
      <w:r w:rsidRPr="00B661F3">
        <w:t xml:space="preserve"> ostale tekuće obveze iznose </w:t>
      </w:r>
      <w:r w:rsidR="0078551E" w:rsidRPr="00B661F3">
        <w:t>1.337.911,23</w:t>
      </w:r>
      <w:r w:rsidR="006A0B91" w:rsidRPr="00B661F3">
        <w:t>eur</w:t>
      </w:r>
      <w:r w:rsidR="00D52C5D" w:rsidRPr="00B661F3">
        <w:t>. O</w:t>
      </w:r>
      <w:r w:rsidRPr="00B661F3">
        <w:t xml:space="preserve">bveze za nabavu nefinancijske imovine </w:t>
      </w:r>
      <w:r w:rsidR="00D52C5D" w:rsidRPr="00B661F3">
        <w:t xml:space="preserve">iznose </w:t>
      </w:r>
      <w:r w:rsidR="009143EB" w:rsidRPr="00B661F3">
        <w:t xml:space="preserve">ukupno </w:t>
      </w:r>
      <w:r w:rsidR="006A0B91" w:rsidRPr="00B661F3">
        <w:t>533.501,51eur</w:t>
      </w:r>
      <w:r w:rsidRPr="00B661F3">
        <w:t>.</w:t>
      </w:r>
    </w:p>
    <w:p w:rsidR="006147CC" w:rsidRPr="00B661F3" w:rsidRDefault="006147CC" w:rsidP="0078551E">
      <w:pPr>
        <w:autoSpaceDE w:val="0"/>
        <w:autoSpaceDN w:val="0"/>
        <w:adjustRightInd w:val="0"/>
      </w:pPr>
    </w:p>
    <w:p w:rsidR="00071BAF" w:rsidRPr="000034E0" w:rsidRDefault="008045BC" w:rsidP="00071BAF">
      <w:pPr>
        <w:autoSpaceDE w:val="0"/>
        <w:autoSpaceDN w:val="0"/>
        <w:adjustRightInd w:val="0"/>
        <w:rPr>
          <w:rFonts w:cs="Arial"/>
          <w:szCs w:val="22"/>
        </w:rPr>
      </w:pPr>
      <w:r w:rsidRPr="00B661F3">
        <w:t xml:space="preserve">Obveze za kredite i zajmove iznose </w:t>
      </w:r>
      <w:r w:rsidR="008275DD" w:rsidRPr="00B661F3">
        <w:t>15.787.248,16eur</w:t>
      </w:r>
      <w:r w:rsidRPr="00B661F3">
        <w:t xml:space="preserve">. Obveze za kredite odnose se na kredit prema  Ministarstvu financija za ŽCGO </w:t>
      </w:r>
      <w:proofErr w:type="spellStart"/>
      <w:r w:rsidRPr="00B661F3">
        <w:t>Kaštijun</w:t>
      </w:r>
      <w:proofErr w:type="spellEnd"/>
      <w:r w:rsidRPr="00B661F3">
        <w:t xml:space="preserve"> -  EU IPA ISPA 2007-2011  u iznosu od </w:t>
      </w:r>
      <w:r w:rsidR="008275DD" w:rsidRPr="00B661F3">
        <w:t>6.608.526,36eur</w:t>
      </w:r>
      <w:r w:rsidRPr="00B661F3">
        <w:t xml:space="preserve">, obveze prema Ministarstvu poljoprivrede u iznosu od </w:t>
      </w:r>
      <w:r w:rsidR="008275DD" w:rsidRPr="00B661F3">
        <w:t xml:space="preserve">90.516,95eur </w:t>
      </w:r>
      <w:r w:rsidRPr="00B661F3">
        <w:t xml:space="preserve">i kredit Zagrebačke banke  za kapitalne projekte za  domove za  starije i nemoćne u iznosu od </w:t>
      </w:r>
      <w:r w:rsidR="008275DD" w:rsidRPr="00B661F3">
        <w:t xml:space="preserve">1.479.512,00eur </w:t>
      </w:r>
      <w:r w:rsidRPr="00B661F3">
        <w:t xml:space="preserve">sa rokom dospijeća 30.06.2029 godine te kredit  Privredne banke Zagreb u iznosu od </w:t>
      </w:r>
      <w:r w:rsidR="008275DD" w:rsidRPr="00B661F3">
        <w:t xml:space="preserve">7.476.718,22eur </w:t>
      </w:r>
      <w:r w:rsidRPr="00B661F3">
        <w:t>za kapitalne projekte Istarske županije</w:t>
      </w:r>
      <w:r w:rsidR="007F2F38" w:rsidRPr="00B661F3">
        <w:t xml:space="preserve"> i to za ulaganja u o</w:t>
      </w:r>
      <w:r w:rsidR="008032C1">
        <w:t>bjekte društvene infrastrukture</w:t>
      </w:r>
      <w:r w:rsidR="00071BAF" w:rsidRPr="000034E0">
        <w:rPr>
          <w:rFonts w:cs="Arial"/>
          <w:szCs w:val="22"/>
        </w:rPr>
        <w:t xml:space="preserve"> i kredit ERSTE banke za ulaganja u dom za starije i nemoćne osobe </w:t>
      </w:r>
      <w:proofErr w:type="spellStart"/>
      <w:r w:rsidR="00071BAF" w:rsidRPr="000034E0">
        <w:rPr>
          <w:rFonts w:cs="Arial"/>
          <w:szCs w:val="22"/>
        </w:rPr>
        <w:t>Alfredo</w:t>
      </w:r>
      <w:proofErr w:type="spellEnd"/>
      <w:r w:rsidR="00071BAF" w:rsidRPr="000034E0">
        <w:rPr>
          <w:rFonts w:cs="Arial"/>
          <w:szCs w:val="22"/>
        </w:rPr>
        <w:t xml:space="preserve"> Štiglić Pula koji na dan 31.12.2023 iznosi 131.974,63eur.</w:t>
      </w:r>
    </w:p>
    <w:p w:rsidR="008045BC" w:rsidRPr="003538F2" w:rsidRDefault="008045BC" w:rsidP="008045BC">
      <w:pPr>
        <w:rPr>
          <w:b/>
        </w:rPr>
      </w:pPr>
      <w:r w:rsidRPr="003538F2">
        <w:rPr>
          <w:b/>
        </w:rPr>
        <w:lastRenderedPageBreak/>
        <w:t>Bilješka broj 4</w:t>
      </w:r>
      <w:r>
        <w:rPr>
          <w:b/>
        </w:rPr>
        <w:t>.</w:t>
      </w:r>
      <w:r w:rsidRPr="003538F2">
        <w:rPr>
          <w:b/>
        </w:rPr>
        <w:t xml:space="preserve"> – Vlastiti izvori  (</w:t>
      </w:r>
      <w:r w:rsidR="00593C5F">
        <w:rPr>
          <w:b/>
        </w:rPr>
        <w:t>Šifra9</w:t>
      </w:r>
      <w:r w:rsidRPr="003538F2">
        <w:rPr>
          <w:b/>
        </w:rPr>
        <w:t xml:space="preserve">) </w:t>
      </w:r>
    </w:p>
    <w:p w:rsidR="008045BC" w:rsidRDefault="008045BC" w:rsidP="008045BC">
      <w:pPr>
        <w:rPr>
          <w:b/>
        </w:rPr>
      </w:pPr>
    </w:p>
    <w:p w:rsidR="00193572" w:rsidRDefault="008045BC" w:rsidP="008045BC">
      <w:r w:rsidRPr="003538F2">
        <w:t>Vlastiti izvori na  dan 31.12.20</w:t>
      </w:r>
      <w:r>
        <w:t>2</w:t>
      </w:r>
      <w:r w:rsidR="00F045C7">
        <w:t>3</w:t>
      </w:r>
      <w:r w:rsidR="00593C5F">
        <w:t>.</w:t>
      </w:r>
      <w:r w:rsidRPr="003538F2">
        <w:t xml:space="preserve"> godine iznose  </w:t>
      </w:r>
      <w:r w:rsidR="00F045C7" w:rsidRPr="00F045C7">
        <w:t>91.798.145,40</w:t>
      </w:r>
      <w:r w:rsidR="00F045C7">
        <w:t xml:space="preserve">eur </w:t>
      </w:r>
      <w:r w:rsidRPr="003538F2">
        <w:t>i povećani su u  odnosu na 01.01.20</w:t>
      </w:r>
      <w:r>
        <w:t>2</w:t>
      </w:r>
      <w:r w:rsidR="00F045C7">
        <w:t>3</w:t>
      </w:r>
      <w:r w:rsidRPr="003538F2">
        <w:t>.</w:t>
      </w:r>
      <w:r>
        <w:t xml:space="preserve"> godinu</w:t>
      </w:r>
      <w:r w:rsidRPr="003538F2">
        <w:t xml:space="preserve"> za </w:t>
      </w:r>
      <w:r w:rsidR="00593C5F">
        <w:t>2</w:t>
      </w:r>
      <w:r w:rsidR="00F045C7">
        <w:t>1,4</w:t>
      </w:r>
      <w:r w:rsidRPr="003538F2">
        <w:t xml:space="preserve">%. Vlastiti izvori Istarske županije iznose </w:t>
      </w:r>
      <w:r w:rsidR="00F045C7" w:rsidRPr="00F045C7">
        <w:t>91.778.846,44eur</w:t>
      </w:r>
      <w:r w:rsidR="00F045C7">
        <w:t>,</w:t>
      </w:r>
      <w:r w:rsidRPr="003538F2">
        <w:t xml:space="preserve"> a na Vijeća otpada </w:t>
      </w:r>
      <w:r w:rsidR="00880B69">
        <w:t>19.</w:t>
      </w:r>
      <w:r w:rsidR="00F045C7">
        <w:t>298,96eur</w:t>
      </w:r>
      <w:r w:rsidRPr="003538F2">
        <w:t xml:space="preserve">. </w:t>
      </w:r>
    </w:p>
    <w:p w:rsidR="00193572" w:rsidRDefault="00193572" w:rsidP="008045BC"/>
    <w:p w:rsidR="00880B69" w:rsidRDefault="008045BC" w:rsidP="008045BC">
      <w:r w:rsidRPr="003538F2">
        <w:t xml:space="preserve">Višak  prihoda poslovanja predstavlja ukupni višak prihoda poslovanja u iznosu od </w:t>
      </w:r>
      <w:r w:rsidR="00195F73" w:rsidRPr="00195F73">
        <w:t>18.169.599,62</w:t>
      </w:r>
      <w:r w:rsidR="00F045C7">
        <w:t xml:space="preserve">eur </w:t>
      </w:r>
      <w:r w:rsidRPr="003538F2">
        <w:t>(</w:t>
      </w:r>
      <w:r w:rsidR="00880B69">
        <w:t>Šifra92211</w:t>
      </w:r>
      <w:r w:rsidRPr="003538F2">
        <w:t xml:space="preserve">), od čega na Istarsku županiju otpada </w:t>
      </w:r>
      <w:r w:rsidR="00F045C7" w:rsidRPr="00F045C7">
        <w:t>19.553.318,78</w:t>
      </w:r>
      <w:r w:rsidR="00F045C7">
        <w:t>eur</w:t>
      </w:r>
      <w:r>
        <w:t xml:space="preserve">, </w:t>
      </w:r>
      <w:r w:rsidRPr="003538F2">
        <w:t xml:space="preserve">a </w:t>
      </w:r>
      <w:r w:rsidRPr="003B0E25">
        <w:t xml:space="preserve">na Vijeća </w:t>
      </w:r>
      <w:r w:rsidR="00F045C7">
        <w:t>16.280,84eur</w:t>
      </w:r>
      <w:r w:rsidRPr="003B0E25">
        <w:t>.</w:t>
      </w:r>
      <w:r w:rsidRPr="003538F2">
        <w:t xml:space="preserve"> </w:t>
      </w:r>
    </w:p>
    <w:p w:rsidR="00880B69" w:rsidRDefault="00880B69" w:rsidP="008045BC"/>
    <w:p w:rsidR="00E30A05" w:rsidRDefault="008045BC" w:rsidP="008045BC">
      <w:r w:rsidRPr="003538F2">
        <w:t xml:space="preserve">Manjak prihoda od nefinancijske imovine iznosi </w:t>
      </w:r>
      <w:r w:rsidR="00195F73" w:rsidRPr="00195F73">
        <w:t>4.114.901,49</w:t>
      </w:r>
      <w:r w:rsidR="00F045C7">
        <w:t>eur</w:t>
      </w:r>
      <w:r w:rsidR="009B064C">
        <w:t>,</w:t>
      </w:r>
      <w:r w:rsidRPr="003538F2">
        <w:t xml:space="preserve"> od toga manjak Istarske županije iznosi </w:t>
      </w:r>
      <w:r w:rsidR="00880EA8">
        <w:t>4.103.881,32</w:t>
      </w:r>
      <w:r w:rsidR="00F045C7">
        <w:t>eur</w:t>
      </w:r>
      <w:r w:rsidR="00E30A05">
        <w:t>,</w:t>
      </w:r>
      <w:r w:rsidR="00880B69">
        <w:t xml:space="preserve"> </w:t>
      </w:r>
      <w:r w:rsidR="00F045C7">
        <w:t>a Vijeća nacionalnih manjina i predstavnika 11.020,17eur.</w:t>
      </w:r>
    </w:p>
    <w:p w:rsidR="00E30A05" w:rsidRDefault="00E30A05" w:rsidP="008045BC"/>
    <w:p w:rsidR="008045BC" w:rsidRDefault="00880B69" w:rsidP="008045BC">
      <w:r>
        <w:t xml:space="preserve">Ukupno raspoloživa sredstva </w:t>
      </w:r>
      <w:r w:rsidR="008045BC" w:rsidRPr="00C31897">
        <w:t>Istarske županije</w:t>
      </w:r>
      <w:r w:rsidR="00E30A05">
        <w:t xml:space="preserve"> i vijeća iznose</w:t>
      </w:r>
      <w:r w:rsidR="008045BC" w:rsidRPr="00C31897">
        <w:t xml:space="preserve"> </w:t>
      </w:r>
      <w:r w:rsidR="00F045C7" w:rsidRPr="00F045C7">
        <w:t>12.368.082,11</w:t>
      </w:r>
      <w:r w:rsidR="00F045C7">
        <w:t>eur</w:t>
      </w:r>
      <w:r w:rsidR="00E30A05">
        <w:t xml:space="preserve"> (Šifra922).</w:t>
      </w:r>
      <w:r w:rsidR="00E30A05" w:rsidRPr="003538F2">
        <w:t xml:space="preserve"> </w:t>
      </w:r>
      <w:r w:rsidR="00E30A05">
        <w:t xml:space="preserve">od čega na Istarsku županiju otpada </w:t>
      </w:r>
      <w:r w:rsidR="00F045C7" w:rsidRPr="00F045C7">
        <w:t>12.362.821,44eur</w:t>
      </w:r>
      <w:r w:rsidR="008045BC" w:rsidRPr="00C31897">
        <w:t xml:space="preserve">, a raspoloživa sredstva Vijeća  su </w:t>
      </w:r>
      <w:r w:rsidR="00F045C7" w:rsidRPr="00F045C7">
        <w:t>5.260,67</w:t>
      </w:r>
      <w:r w:rsidR="00F045C7">
        <w:t>eur</w:t>
      </w:r>
      <w:r w:rsidR="008045BC" w:rsidRPr="00C31897">
        <w:t>.</w:t>
      </w:r>
    </w:p>
    <w:p w:rsidR="008045BC" w:rsidRPr="00C31897" w:rsidRDefault="008045BC" w:rsidP="008045BC"/>
    <w:p w:rsidR="008045BC" w:rsidRDefault="008045BC" w:rsidP="008045BC">
      <w:r w:rsidRPr="00C31897">
        <w:t>Manjak nefinancijske imovine korigiran je temeljem obvezne korekcije za konto 63</w:t>
      </w:r>
      <w:r w:rsidR="00880B69">
        <w:t>32</w:t>
      </w:r>
      <w:r>
        <w:t xml:space="preserve"> u iznosu od </w:t>
      </w:r>
      <w:r w:rsidR="00F045C7">
        <w:t xml:space="preserve">57.244,07 </w:t>
      </w:r>
      <w:proofErr w:type="spellStart"/>
      <w:r w:rsidR="00F045C7">
        <w:t>eur</w:t>
      </w:r>
      <w:proofErr w:type="spellEnd"/>
      <w:r>
        <w:t>,</w:t>
      </w:r>
      <w:r w:rsidR="006F3A38">
        <w:t xml:space="preserve"> na kontu 6352 u iznosu od </w:t>
      </w:r>
      <w:r w:rsidR="00F045C7" w:rsidRPr="00F045C7">
        <w:t>673.032,45</w:t>
      </w:r>
      <w:r w:rsidR="00F045C7">
        <w:t>eur,</w:t>
      </w:r>
      <w:r w:rsidR="006F3A38">
        <w:t xml:space="preserve"> na kontu 6382</w:t>
      </w:r>
      <w:r w:rsidR="000453E1">
        <w:t xml:space="preserve"> u</w:t>
      </w:r>
      <w:r w:rsidR="006F3A38">
        <w:t xml:space="preserve"> iznosu od </w:t>
      </w:r>
      <w:r w:rsidR="006E11F2" w:rsidRPr="006E11F2">
        <w:t>3.245.008,02</w:t>
      </w:r>
      <w:r w:rsidR="006E11F2">
        <w:t>eur</w:t>
      </w:r>
      <w:r w:rsidR="006E11F2" w:rsidRPr="006E11F2">
        <w:t xml:space="preserve"> </w:t>
      </w:r>
      <w:r w:rsidR="000453E1">
        <w:t>i na kontu 6</w:t>
      </w:r>
      <w:r w:rsidR="006E11F2">
        <w:t>632</w:t>
      </w:r>
      <w:r w:rsidR="000453E1">
        <w:t xml:space="preserve"> za </w:t>
      </w:r>
      <w:r w:rsidR="006E11F2" w:rsidRPr="006E11F2">
        <w:t>1.400.000,00</w:t>
      </w:r>
      <w:r w:rsidR="006E11F2">
        <w:t>eur</w:t>
      </w:r>
      <w:r w:rsidR="000453E1">
        <w:t xml:space="preserve">, a sve </w:t>
      </w:r>
      <w:r w:rsidRPr="003538F2">
        <w:t xml:space="preserve">na teret viška prihoda poslovanja. </w:t>
      </w:r>
    </w:p>
    <w:p w:rsidR="00A852CA" w:rsidRDefault="00A852CA" w:rsidP="008045BC"/>
    <w:p w:rsidR="00E078D8" w:rsidRDefault="00E078D8" w:rsidP="00E078D8">
      <w:pPr>
        <w:rPr>
          <w:rFonts w:ascii="Calibri" w:hAnsi="Calibri" w:cs="Calibri"/>
          <w:b/>
          <w:bCs/>
          <w:color w:val="000000"/>
          <w:szCs w:val="22"/>
          <w:lang w:eastAsia="hr-HR"/>
        </w:rPr>
      </w:pPr>
      <w:r w:rsidRPr="00E40404">
        <w:rPr>
          <w:rFonts w:ascii="Calibri" w:hAnsi="Calibri" w:cs="Calibri"/>
          <w:b/>
          <w:bCs/>
          <w:color w:val="000000"/>
          <w:szCs w:val="22"/>
          <w:lang w:eastAsia="hr-HR"/>
        </w:rPr>
        <w:t xml:space="preserve">Tablica: </w:t>
      </w:r>
      <w:r>
        <w:rPr>
          <w:rFonts w:ascii="Calibri" w:hAnsi="Calibri" w:cs="Calibri"/>
          <w:b/>
          <w:bCs/>
          <w:color w:val="000000"/>
          <w:szCs w:val="22"/>
          <w:lang w:eastAsia="hr-HR"/>
        </w:rPr>
        <w:t xml:space="preserve">Korekcija rezultata </w:t>
      </w:r>
      <w:r w:rsidRPr="00E40404">
        <w:rPr>
          <w:rFonts w:ascii="Calibri" w:hAnsi="Calibri" w:cs="Calibri"/>
          <w:b/>
          <w:bCs/>
          <w:color w:val="000000"/>
          <w:szCs w:val="22"/>
          <w:lang w:eastAsia="hr-HR"/>
        </w:rPr>
        <w:t>Istarske županije</w:t>
      </w:r>
      <w:r>
        <w:rPr>
          <w:rFonts w:ascii="Calibri" w:hAnsi="Calibri" w:cs="Calibri"/>
          <w:b/>
          <w:bCs/>
          <w:color w:val="000000"/>
          <w:szCs w:val="22"/>
          <w:lang w:eastAsia="hr-HR"/>
        </w:rPr>
        <w:t xml:space="preserve"> </w:t>
      </w:r>
      <w:r w:rsidRPr="00E40404">
        <w:rPr>
          <w:rFonts w:ascii="Calibri" w:hAnsi="Calibri" w:cs="Calibri"/>
          <w:b/>
          <w:bCs/>
          <w:color w:val="000000"/>
          <w:szCs w:val="22"/>
          <w:lang w:eastAsia="hr-HR"/>
        </w:rPr>
        <w:t>na dan 31.12.202</w:t>
      </w:r>
      <w:r w:rsidR="006E11F2">
        <w:rPr>
          <w:rFonts w:ascii="Calibri" w:hAnsi="Calibri" w:cs="Calibri"/>
          <w:b/>
          <w:bCs/>
          <w:color w:val="000000"/>
          <w:szCs w:val="22"/>
          <w:lang w:eastAsia="hr-HR"/>
        </w:rPr>
        <w:t>3</w:t>
      </w:r>
      <w:r w:rsidRPr="00E40404">
        <w:rPr>
          <w:rFonts w:ascii="Calibri" w:hAnsi="Calibri" w:cs="Calibri"/>
          <w:b/>
          <w:bCs/>
          <w:color w:val="000000"/>
          <w:szCs w:val="22"/>
          <w:lang w:eastAsia="hr-HR"/>
        </w:rPr>
        <w:t>. godine</w:t>
      </w:r>
    </w:p>
    <w:tbl>
      <w:tblPr>
        <w:tblW w:w="8540" w:type="dxa"/>
        <w:tblLook w:val="04A0" w:firstRow="1" w:lastRow="0" w:firstColumn="1" w:lastColumn="0" w:noHBand="0" w:noVBand="1"/>
      </w:tblPr>
      <w:tblGrid>
        <w:gridCol w:w="887"/>
        <w:gridCol w:w="2245"/>
        <w:gridCol w:w="1398"/>
        <w:gridCol w:w="1436"/>
        <w:gridCol w:w="1176"/>
        <w:gridCol w:w="1398"/>
      </w:tblGrid>
      <w:tr w:rsidR="00D15B3E" w:rsidRPr="00D15B3E" w:rsidTr="00D15B3E">
        <w:trPr>
          <w:trHeight w:val="840"/>
        </w:trPr>
        <w:tc>
          <w:tcPr>
            <w:tcW w:w="8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5B3E" w:rsidRPr="00D15B3E" w:rsidRDefault="00D15B3E" w:rsidP="00D15B3E">
            <w:pPr>
              <w:jc w:val="lef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Konto GK</w:t>
            </w:r>
          </w:p>
        </w:tc>
        <w:tc>
          <w:tcPr>
            <w:tcW w:w="2348" w:type="dxa"/>
            <w:tcBorders>
              <w:top w:val="single" w:sz="4" w:space="0" w:color="auto"/>
              <w:left w:val="nil"/>
              <w:bottom w:val="single" w:sz="4" w:space="0" w:color="auto"/>
              <w:right w:val="single" w:sz="4" w:space="0" w:color="auto"/>
            </w:tcBorders>
            <w:shd w:val="clear" w:color="auto" w:fill="auto"/>
            <w:vAlign w:val="bottom"/>
            <w:hideMark/>
          </w:tcPr>
          <w:p w:rsidR="00D15B3E" w:rsidRPr="00D15B3E" w:rsidRDefault="00D15B3E" w:rsidP="00D15B3E">
            <w:pPr>
              <w:jc w:val="lef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Naziv</w:t>
            </w:r>
          </w:p>
        </w:tc>
        <w:tc>
          <w:tcPr>
            <w:tcW w:w="1398" w:type="dxa"/>
            <w:tcBorders>
              <w:top w:val="single" w:sz="4" w:space="0" w:color="auto"/>
              <w:left w:val="nil"/>
              <w:bottom w:val="single" w:sz="4" w:space="0" w:color="auto"/>
              <w:right w:val="single" w:sz="4" w:space="0" w:color="auto"/>
            </w:tcBorders>
            <w:shd w:val="clear" w:color="auto" w:fill="auto"/>
            <w:vAlign w:val="bottom"/>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PR-RAS</w:t>
            </w:r>
          </w:p>
        </w:tc>
        <w:tc>
          <w:tcPr>
            <w:tcW w:w="1458" w:type="dxa"/>
            <w:tcBorders>
              <w:top w:val="single" w:sz="4" w:space="0" w:color="auto"/>
              <w:left w:val="nil"/>
              <w:bottom w:val="single" w:sz="4" w:space="0" w:color="auto"/>
              <w:right w:val="single" w:sz="4" w:space="0" w:color="auto"/>
            </w:tcBorders>
            <w:shd w:val="clear" w:color="auto" w:fill="auto"/>
            <w:vAlign w:val="bottom"/>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 xml:space="preserve">1. KOREKCIJA </w:t>
            </w:r>
          </w:p>
        </w:tc>
        <w:tc>
          <w:tcPr>
            <w:tcW w:w="1051" w:type="dxa"/>
            <w:tcBorders>
              <w:top w:val="single" w:sz="4" w:space="0" w:color="auto"/>
              <w:left w:val="nil"/>
              <w:bottom w:val="single" w:sz="4" w:space="0" w:color="auto"/>
              <w:right w:val="single" w:sz="4" w:space="0" w:color="auto"/>
            </w:tcBorders>
            <w:shd w:val="clear" w:color="auto" w:fill="auto"/>
            <w:vAlign w:val="bottom"/>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 xml:space="preserve">2. KOREKCIJA </w:t>
            </w:r>
          </w:p>
        </w:tc>
        <w:tc>
          <w:tcPr>
            <w:tcW w:w="1398" w:type="dxa"/>
            <w:tcBorders>
              <w:top w:val="single" w:sz="4" w:space="0" w:color="auto"/>
              <w:left w:val="nil"/>
              <w:bottom w:val="single" w:sz="4" w:space="0" w:color="auto"/>
              <w:right w:val="single" w:sz="4" w:space="0" w:color="auto"/>
            </w:tcBorders>
            <w:shd w:val="clear" w:color="auto" w:fill="auto"/>
            <w:vAlign w:val="bottom"/>
            <w:hideMark/>
          </w:tcPr>
          <w:p w:rsidR="00D15B3E" w:rsidRPr="00D15B3E" w:rsidRDefault="00D15B3E" w:rsidP="00D15B3E">
            <w:pPr>
              <w:jc w:val="center"/>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PODACI ZA BILANCU</w:t>
            </w:r>
          </w:p>
        </w:tc>
      </w:tr>
      <w:tr w:rsidR="00D15B3E" w:rsidRPr="00D15B3E" w:rsidTr="00D15B3E">
        <w:trPr>
          <w:trHeight w:val="480"/>
        </w:trPr>
        <w:tc>
          <w:tcPr>
            <w:tcW w:w="887" w:type="dxa"/>
            <w:tcBorders>
              <w:top w:val="nil"/>
              <w:left w:val="single" w:sz="4" w:space="0" w:color="auto"/>
              <w:bottom w:val="single" w:sz="4" w:space="0" w:color="auto"/>
              <w:right w:val="single" w:sz="4" w:space="0" w:color="auto"/>
            </w:tcBorders>
            <w:shd w:val="clear" w:color="auto" w:fill="auto"/>
            <w:hideMark/>
          </w:tcPr>
          <w:p w:rsidR="00D15B3E" w:rsidRPr="00D15B3E" w:rsidRDefault="00D15B3E" w:rsidP="00D15B3E">
            <w:pPr>
              <w:jc w:val="left"/>
              <w:rPr>
                <w:rFonts w:ascii="Segoe UI" w:hAnsi="Segoe UI" w:cs="Segoe UI"/>
                <w:color w:val="000000"/>
                <w:sz w:val="18"/>
                <w:szCs w:val="18"/>
                <w:lang w:eastAsia="hr-HR"/>
              </w:rPr>
            </w:pPr>
            <w:r w:rsidRPr="00D15B3E">
              <w:rPr>
                <w:rFonts w:ascii="Segoe UI" w:hAnsi="Segoe UI" w:cs="Segoe UI"/>
                <w:color w:val="000000"/>
                <w:sz w:val="18"/>
                <w:szCs w:val="18"/>
                <w:lang w:eastAsia="hr-HR"/>
              </w:rPr>
              <w:t>92211</w:t>
            </w:r>
          </w:p>
        </w:tc>
        <w:tc>
          <w:tcPr>
            <w:tcW w:w="2348"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left"/>
              <w:rPr>
                <w:rFonts w:ascii="Segoe UI" w:hAnsi="Segoe UI" w:cs="Segoe UI"/>
                <w:color w:val="000000"/>
                <w:sz w:val="18"/>
                <w:szCs w:val="18"/>
                <w:lang w:eastAsia="hr-HR"/>
              </w:rPr>
            </w:pPr>
            <w:r w:rsidRPr="00D15B3E">
              <w:rPr>
                <w:rFonts w:ascii="Segoe UI" w:hAnsi="Segoe UI" w:cs="Segoe UI"/>
                <w:color w:val="000000"/>
                <w:sz w:val="18"/>
                <w:szCs w:val="18"/>
                <w:lang w:eastAsia="hr-HR"/>
              </w:rPr>
              <w:t>VIŠAK PRIHODA POSLOVANJA</w:t>
            </w:r>
          </w:p>
        </w:tc>
        <w:tc>
          <w:tcPr>
            <w:tcW w:w="1398"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right"/>
              <w:rPr>
                <w:rFonts w:ascii="Segoe UI" w:hAnsi="Segoe UI" w:cs="Segoe UI"/>
                <w:color w:val="000000"/>
                <w:sz w:val="18"/>
                <w:szCs w:val="18"/>
                <w:lang w:eastAsia="hr-HR"/>
              </w:rPr>
            </w:pPr>
            <w:r w:rsidRPr="00D15B3E">
              <w:rPr>
                <w:rFonts w:ascii="Segoe UI" w:hAnsi="Segoe UI" w:cs="Segoe UI"/>
                <w:color w:val="000000"/>
                <w:sz w:val="18"/>
                <w:szCs w:val="18"/>
                <w:lang w:eastAsia="hr-HR"/>
              </w:rPr>
              <w:t>23.528.603,32</w:t>
            </w:r>
          </w:p>
        </w:tc>
        <w:tc>
          <w:tcPr>
            <w:tcW w:w="1458"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right"/>
              <w:rPr>
                <w:rFonts w:ascii="Segoe UI" w:hAnsi="Segoe UI" w:cs="Segoe UI"/>
                <w:color w:val="000000"/>
                <w:sz w:val="18"/>
                <w:szCs w:val="18"/>
                <w:lang w:eastAsia="hr-HR"/>
              </w:rPr>
            </w:pPr>
            <w:r w:rsidRPr="00D15B3E">
              <w:rPr>
                <w:rFonts w:ascii="Segoe UI" w:hAnsi="Segoe UI" w:cs="Segoe UI"/>
                <w:color w:val="000000"/>
                <w:sz w:val="18"/>
                <w:szCs w:val="18"/>
                <w:lang w:eastAsia="hr-HR"/>
              </w:rPr>
              <w:t>- 5.375.284,54</w:t>
            </w:r>
          </w:p>
        </w:tc>
        <w:tc>
          <w:tcPr>
            <w:tcW w:w="1051"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right"/>
              <w:rPr>
                <w:rFonts w:ascii="Segoe UI" w:hAnsi="Segoe UI" w:cs="Segoe UI"/>
                <w:color w:val="000000"/>
                <w:sz w:val="18"/>
                <w:szCs w:val="18"/>
                <w:lang w:eastAsia="hr-HR"/>
              </w:rPr>
            </w:pPr>
            <w:r w:rsidRPr="00D15B3E">
              <w:rPr>
                <w:rFonts w:ascii="Segoe UI" w:hAnsi="Segoe UI" w:cs="Segoe UI"/>
                <w:color w:val="000000"/>
                <w:sz w:val="18"/>
                <w:szCs w:val="18"/>
                <w:lang w:eastAsia="hr-HR"/>
              </w:rPr>
              <w:t>0,00</w:t>
            </w:r>
          </w:p>
        </w:tc>
        <w:tc>
          <w:tcPr>
            <w:tcW w:w="1398"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right"/>
              <w:rPr>
                <w:rFonts w:ascii="Segoe UI" w:hAnsi="Segoe UI" w:cs="Segoe UI"/>
                <w:color w:val="000000"/>
                <w:sz w:val="18"/>
                <w:szCs w:val="18"/>
                <w:lang w:eastAsia="hr-HR"/>
              </w:rPr>
            </w:pPr>
            <w:r w:rsidRPr="00D15B3E">
              <w:rPr>
                <w:rFonts w:ascii="Segoe UI" w:hAnsi="Segoe UI" w:cs="Segoe UI"/>
                <w:color w:val="000000"/>
                <w:sz w:val="18"/>
                <w:szCs w:val="18"/>
                <w:lang w:eastAsia="hr-HR"/>
              </w:rPr>
              <w:t>18.153.318,78</w:t>
            </w:r>
          </w:p>
        </w:tc>
      </w:tr>
      <w:tr w:rsidR="00D15B3E" w:rsidRPr="00D15B3E" w:rsidTr="00D15B3E">
        <w:trPr>
          <w:trHeight w:val="255"/>
        </w:trPr>
        <w:tc>
          <w:tcPr>
            <w:tcW w:w="887" w:type="dxa"/>
            <w:tcBorders>
              <w:top w:val="nil"/>
              <w:left w:val="single" w:sz="4" w:space="0" w:color="auto"/>
              <w:bottom w:val="single" w:sz="4" w:space="0" w:color="auto"/>
              <w:right w:val="single" w:sz="4" w:space="0" w:color="auto"/>
            </w:tcBorders>
            <w:shd w:val="clear" w:color="000000" w:fill="D3D3D3"/>
            <w:hideMark/>
          </w:tcPr>
          <w:p w:rsidR="00D15B3E" w:rsidRPr="00D15B3E" w:rsidRDefault="00D15B3E" w:rsidP="00D15B3E">
            <w:pPr>
              <w:jc w:val="lef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9221</w:t>
            </w:r>
          </w:p>
        </w:tc>
        <w:tc>
          <w:tcPr>
            <w:tcW w:w="234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lef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VIŠAK PRIHODA</w:t>
            </w:r>
          </w:p>
        </w:tc>
        <w:tc>
          <w:tcPr>
            <w:tcW w:w="139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23.528.603,32</w:t>
            </w:r>
          </w:p>
        </w:tc>
        <w:tc>
          <w:tcPr>
            <w:tcW w:w="145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- 5.375.284,54</w:t>
            </w:r>
          </w:p>
        </w:tc>
        <w:tc>
          <w:tcPr>
            <w:tcW w:w="1051"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0,00</w:t>
            </w:r>
          </w:p>
        </w:tc>
        <w:tc>
          <w:tcPr>
            <w:tcW w:w="139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18.153.318,78</w:t>
            </w:r>
          </w:p>
        </w:tc>
      </w:tr>
      <w:tr w:rsidR="00D15B3E" w:rsidRPr="00D15B3E" w:rsidTr="00D15B3E">
        <w:trPr>
          <w:trHeight w:val="480"/>
        </w:trPr>
        <w:tc>
          <w:tcPr>
            <w:tcW w:w="887" w:type="dxa"/>
            <w:tcBorders>
              <w:top w:val="nil"/>
              <w:left w:val="single" w:sz="4" w:space="0" w:color="auto"/>
              <w:bottom w:val="single" w:sz="4" w:space="0" w:color="auto"/>
              <w:right w:val="single" w:sz="4" w:space="0" w:color="auto"/>
            </w:tcBorders>
            <w:shd w:val="clear" w:color="auto" w:fill="auto"/>
            <w:hideMark/>
          </w:tcPr>
          <w:p w:rsidR="00D15B3E" w:rsidRPr="00D15B3E" w:rsidRDefault="00D15B3E" w:rsidP="00D15B3E">
            <w:pPr>
              <w:jc w:val="left"/>
              <w:rPr>
                <w:rFonts w:ascii="Segoe UI" w:hAnsi="Segoe UI" w:cs="Segoe UI"/>
                <w:color w:val="000000"/>
                <w:sz w:val="18"/>
                <w:szCs w:val="18"/>
                <w:lang w:eastAsia="hr-HR"/>
              </w:rPr>
            </w:pPr>
            <w:r w:rsidRPr="00D15B3E">
              <w:rPr>
                <w:rFonts w:ascii="Segoe UI" w:hAnsi="Segoe UI" w:cs="Segoe UI"/>
                <w:color w:val="000000"/>
                <w:sz w:val="18"/>
                <w:szCs w:val="18"/>
                <w:lang w:eastAsia="hr-HR"/>
              </w:rPr>
              <w:t>92221</w:t>
            </w:r>
          </w:p>
        </w:tc>
        <w:tc>
          <w:tcPr>
            <w:tcW w:w="2348"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left"/>
              <w:rPr>
                <w:rFonts w:ascii="Segoe UI" w:hAnsi="Segoe UI" w:cs="Segoe UI"/>
                <w:color w:val="000000"/>
                <w:sz w:val="18"/>
                <w:szCs w:val="18"/>
                <w:lang w:eastAsia="hr-HR"/>
              </w:rPr>
            </w:pPr>
            <w:r w:rsidRPr="00D15B3E">
              <w:rPr>
                <w:rFonts w:ascii="Segoe UI" w:hAnsi="Segoe UI" w:cs="Segoe UI"/>
                <w:color w:val="000000"/>
                <w:sz w:val="18"/>
                <w:szCs w:val="18"/>
                <w:lang w:eastAsia="hr-HR"/>
              </w:rPr>
              <w:t>MANJAK PRIHODA POSLOVANJA</w:t>
            </w:r>
          </w:p>
        </w:tc>
        <w:tc>
          <w:tcPr>
            <w:tcW w:w="1398"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right"/>
              <w:rPr>
                <w:rFonts w:ascii="Segoe UI" w:hAnsi="Segoe UI" w:cs="Segoe UI"/>
                <w:color w:val="000000"/>
                <w:sz w:val="18"/>
                <w:szCs w:val="18"/>
                <w:lang w:eastAsia="hr-HR"/>
              </w:rPr>
            </w:pPr>
            <w:r w:rsidRPr="00D15B3E">
              <w:rPr>
                <w:rFonts w:ascii="Segoe UI" w:hAnsi="Segoe UI" w:cs="Segoe UI"/>
                <w:color w:val="000000"/>
                <w:sz w:val="18"/>
                <w:szCs w:val="18"/>
                <w:lang w:eastAsia="hr-HR"/>
              </w:rPr>
              <w:t>0,00</w:t>
            </w:r>
          </w:p>
        </w:tc>
        <w:tc>
          <w:tcPr>
            <w:tcW w:w="1458"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right"/>
              <w:rPr>
                <w:rFonts w:ascii="Segoe UI" w:hAnsi="Segoe UI" w:cs="Segoe UI"/>
                <w:color w:val="000000"/>
                <w:sz w:val="18"/>
                <w:szCs w:val="18"/>
                <w:lang w:eastAsia="hr-HR"/>
              </w:rPr>
            </w:pPr>
            <w:r w:rsidRPr="00D15B3E">
              <w:rPr>
                <w:rFonts w:ascii="Segoe UI" w:hAnsi="Segoe UI" w:cs="Segoe UI"/>
                <w:color w:val="000000"/>
                <w:sz w:val="18"/>
                <w:szCs w:val="18"/>
                <w:lang w:eastAsia="hr-HR"/>
              </w:rPr>
              <w:t>0,00</w:t>
            </w:r>
          </w:p>
        </w:tc>
        <w:tc>
          <w:tcPr>
            <w:tcW w:w="1051"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right"/>
              <w:rPr>
                <w:rFonts w:ascii="Segoe UI" w:hAnsi="Segoe UI" w:cs="Segoe UI"/>
                <w:color w:val="000000"/>
                <w:sz w:val="18"/>
                <w:szCs w:val="18"/>
                <w:lang w:eastAsia="hr-HR"/>
              </w:rPr>
            </w:pPr>
            <w:r w:rsidRPr="00D15B3E">
              <w:rPr>
                <w:rFonts w:ascii="Segoe UI" w:hAnsi="Segoe UI" w:cs="Segoe UI"/>
                <w:color w:val="000000"/>
                <w:sz w:val="18"/>
                <w:szCs w:val="18"/>
                <w:lang w:eastAsia="hr-HR"/>
              </w:rPr>
              <w:t>0,00</w:t>
            </w:r>
          </w:p>
        </w:tc>
        <w:tc>
          <w:tcPr>
            <w:tcW w:w="1398"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right"/>
              <w:rPr>
                <w:rFonts w:ascii="Segoe UI" w:hAnsi="Segoe UI" w:cs="Segoe UI"/>
                <w:color w:val="000000"/>
                <w:sz w:val="18"/>
                <w:szCs w:val="18"/>
                <w:lang w:eastAsia="hr-HR"/>
              </w:rPr>
            </w:pPr>
            <w:r w:rsidRPr="00D15B3E">
              <w:rPr>
                <w:rFonts w:ascii="Segoe UI" w:hAnsi="Segoe UI" w:cs="Segoe UI"/>
                <w:color w:val="000000"/>
                <w:sz w:val="18"/>
                <w:szCs w:val="18"/>
                <w:lang w:eastAsia="hr-HR"/>
              </w:rPr>
              <w:t>0,00</w:t>
            </w:r>
          </w:p>
        </w:tc>
      </w:tr>
      <w:tr w:rsidR="00D15B3E" w:rsidRPr="00D15B3E" w:rsidTr="00D15B3E">
        <w:trPr>
          <w:trHeight w:val="480"/>
        </w:trPr>
        <w:tc>
          <w:tcPr>
            <w:tcW w:w="887" w:type="dxa"/>
            <w:tcBorders>
              <w:top w:val="nil"/>
              <w:left w:val="single" w:sz="4" w:space="0" w:color="auto"/>
              <w:bottom w:val="single" w:sz="4" w:space="0" w:color="auto"/>
              <w:right w:val="single" w:sz="4" w:space="0" w:color="auto"/>
            </w:tcBorders>
            <w:shd w:val="clear" w:color="auto" w:fill="auto"/>
            <w:hideMark/>
          </w:tcPr>
          <w:p w:rsidR="00D15B3E" w:rsidRPr="00D15B3E" w:rsidRDefault="00D15B3E" w:rsidP="00D15B3E">
            <w:pPr>
              <w:jc w:val="left"/>
              <w:rPr>
                <w:rFonts w:ascii="Segoe UI" w:hAnsi="Segoe UI" w:cs="Segoe UI"/>
                <w:color w:val="000000"/>
                <w:sz w:val="18"/>
                <w:szCs w:val="18"/>
                <w:lang w:eastAsia="hr-HR"/>
              </w:rPr>
            </w:pPr>
            <w:r w:rsidRPr="00D15B3E">
              <w:rPr>
                <w:rFonts w:ascii="Segoe UI" w:hAnsi="Segoe UI" w:cs="Segoe UI"/>
                <w:color w:val="000000"/>
                <w:sz w:val="18"/>
                <w:szCs w:val="18"/>
                <w:lang w:eastAsia="hr-HR"/>
              </w:rPr>
              <w:t>92222</w:t>
            </w:r>
          </w:p>
        </w:tc>
        <w:tc>
          <w:tcPr>
            <w:tcW w:w="2348"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left"/>
              <w:rPr>
                <w:rFonts w:ascii="Segoe UI" w:hAnsi="Segoe UI" w:cs="Segoe UI"/>
                <w:color w:val="000000"/>
                <w:sz w:val="18"/>
                <w:szCs w:val="18"/>
                <w:lang w:eastAsia="hr-HR"/>
              </w:rPr>
            </w:pPr>
            <w:r w:rsidRPr="00D15B3E">
              <w:rPr>
                <w:rFonts w:ascii="Segoe UI" w:hAnsi="Segoe UI" w:cs="Segoe UI"/>
                <w:color w:val="000000"/>
                <w:sz w:val="18"/>
                <w:szCs w:val="18"/>
                <w:lang w:eastAsia="hr-HR"/>
              </w:rPr>
              <w:t>MANJAK PRIHODA OD NEFINANCIJSKE IMOVINE</w:t>
            </w:r>
          </w:p>
        </w:tc>
        <w:tc>
          <w:tcPr>
            <w:tcW w:w="1398"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right"/>
              <w:rPr>
                <w:rFonts w:ascii="Segoe UI" w:hAnsi="Segoe UI" w:cs="Segoe UI"/>
                <w:color w:val="000000"/>
                <w:sz w:val="18"/>
                <w:szCs w:val="18"/>
                <w:lang w:eastAsia="hr-HR"/>
              </w:rPr>
            </w:pPr>
            <w:r w:rsidRPr="00D15B3E">
              <w:rPr>
                <w:rFonts w:ascii="Segoe UI" w:hAnsi="Segoe UI" w:cs="Segoe UI"/>
                <w:color w:val="000000"/>
                <w:sz w:val="18"/>
                <w:szCs w:val="18"/>
                <w:lang w:eastAsia="hr-HR"/>
              </w:rPr>
              <w:t>9.479.165,86</w:t>
            </w:r>
          </w:p>
        </w:tc>
        <w:tc>
          <w:tcPr>
            <w:tcW w:w="1458"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right"/>
              <w:rPr>
                <w:rFonts w:ascii="Segoe UI" w:hAnsi="Segoe UI" w:cs="Segoe UI"/>
                <w:color w:val="000000"/>
                <w:sz w:val="18"/>
                <w:szCs w:val="18"/>
                <w:lang w:eastAsia="hr-HR"/>
              </w:rPr>
            </w:pPr>
            <w:r w:rsidRPr="00D15B3E">
              <w:rPr>
                <w:rFonts w:ascii="Segoe UI" w:hAnsi="Segoe UI" w:cs="Segoe UI"/>
                <w:color w:val="000000"/>
                <w:sz w:val="18"/>
                <w:szCs w:val="18"/>
                <w:lang w:eastAsia="hr-HR"/>
              </w:rPr>
              <w:t>5.375.284,54</w:t>
            </w:r>
          </w:p>
        </w:tc>
        <w:tc>
          <w:tcPr>
            <w:tcW w:w="1051"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right"/>
              <w:rPr>
                <w:rFonts w:ascii="Segoe UI" w:hAnsi="Segoe UI" w:cs="Segoe UI"/>
                <w:color w:val="000000"/>
                <w:sz w:val="18"/>
                <w:szCs w:val="18"/>
                <w:lang w:eastAsia="hr-HR"/>
              </w:rPr>
            </w:pPr>
            <w:r w:rsidRPr="00D15B3E">
              <w:rPr>
                <w:rFonts w:ascii="Segoe UI" w:hAnsi="Segoe UI" w:cs="Segoe UI"/>
                <w:color w:val="000000"/>
                <w:sz w:val="18"/>
                <w:szCs w:val="18"/>
                <w:lang w:eastAsia="hr-HR"/>
              </w:rPr>
              <w:t>0,00</w:t>
            </w:r>
          </w:p>
        </w:tc>
        <w:tc>
          <w:tcPr>
            <w:tcW w:w="1398"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right"/>
              <w:rPr>
                <w:rFonts w:ascii="Segoe UI" w:hAnsi="Segoe UI" w:cs="Segoe UI"/>
                <w:color w:val="000000"/>
                <w:sz w:val="18"/>
                <w:szCs w:val="18"/>
                <w:lang w:eastAsia="hr-HR"/>
              </w:rPr>
            </w:pPr>
            <w:r w:rsidRPr="00D15B3E">
              <w:rPr>
                <w:rFonts w:ascii="Segoe UI" w:hAnsi="Segoe UI" w:cs="Segoe UI"/>
                <w:color w:val="000000"/>
                <w:sz w:val="18"/>
                <w:szCs w:val="18"/>
                <w:lang w:eastAsia="hr-HR"/>
              </w:rPr>
              <w:t>4.103.881,32</w:t>
            </w:r>
          </w:p>
        </w:tc>
      </w:tr>
      <w:tr w:rsidR="00D15B3E" w:rsidRPr="00D15B3E" w:rsidTr="00D15B3E">
        <w:trPr>
          <w:trHeight w:val="480"/>
        </w:trPr>
        <w:tc>
          <w:tcPr>
            <w:tcW w:w="887" w:type="dxa"/>
            <w:tcBorders>
              <w:top w:val="nil"/>
              <w:left w:val="single" w:sz="4" w:space="0" w:color="auto"/>
              <w:bottom w:val="single" w:sz="4" w:space="0" w:color="auto"/>
              <w:right w:val="single" w:sz="4" w:space="0" w:color="auto"/>
            </w:tcBorders>
            <w:shd w:val="clear" w:color="auto" w:fill="auto"/>
            <w:hideMark/>
          </w:tcPr>
          <w:p w:rsidR="00D15B3E" w:rsidRPr="00D15B3E" w:rsidRDefault="00D15B3E" w:rsidP="00D15B3E">
            <w:pPr>
              <w:jc w:val="left"/>
              <w:rPr>
                <w:rFonts w:ascii="Segoe UI" w:hAnsi="Segoe UI" w:cs="Segoe UI"/>
                <w:color w:val="000000"/>
                <w:sz w:val="18"/>
                <w:szCs w:val="18"/>
                <w:lang w:eastAsia="hr-HR"/>
              </w:rPr>
            </w:pPr>
            <w:r w:rsidRPr="00D15B3E">
              <w:rPr>
                <w:rFonts w:ascii="Segoe UI" w:hAnsi="Segoe UI" w:cs="Segoe UI"/>
                <w:color w:val="000000"/>
                <w:sz w:val="18"/>
                <w:szCs w:val="18"/>
                <w:lang w:eastAsia="hr-HR"/>
              </w:rPr>
              <w:t>92223</w:t>
            </w:r>
          </w:p>
        </w:tc>
        <w:tc>
          <w:tcPr>
            <w:tcW w:w="2348"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left"/>
              <w:rPr>
                <w:rFonts w:ascii="Segoe UI" w:hAnsi="Segoe UI" w:cs="Segoe UI"/>
                <w:color w:val="000000"/>
                <w:sz w:val="18"/>
                <w:szCs w:val="18"/>
                <w:lang w:eastAsia="hr-HR"/>
              </w:rPr>
            </w:pPr>
            <w:r w:rsidRPr="00D15B3E">
              <w:rPr>
                <w:rFonts w:ascii="Segoe UI" w:hAnsi="Segoe UI" w:cs="Segoe UI"/>
                <w:color w:val="000000"/>
                <w:sz w:val="18"/>
                <w:szCs w:val="18"/>
                <w:lang w:eastAsia="hr-HR"/>
              </w:rPr>
              <w:t>MANJAK PRIMITAKA OD FINANCIJSKE IMOVINE</w:t>
            </w:r>
          </w:p>
        </w:tc>
        <w:tc>
          <w:tcPr>
            <w:tcW w:w="1398"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right"/>
              <w:rPr>
                <w:rFonts w:ascii="Segoe UI" w:hAnsi="Segoe UI" w:cs="Segoe UI"/>
                <w:color w:val="000000"/>
                <w:sz w:val="18"/>
                <w:szCs w:val="18"/>
                <w:lang w:eastAsia="hr-HR"/>
              </w:rPr>
            </w:pPr>
            <w:r w:rsidRPr="00D15B3E">
              <w:rPr>
                <w:rFonts w:ascii="Segoe UI" w:hAnsi="Segoe UI" w:cs="Segoe UI"/>
                <w:color w:val="000000"/>
                <w:sz w:val="18"/>
                <w:szCs w:val="18"/>
                <w:lang w:eastAsia="hr-HR"/>
              </w:rPr>
              <w:t>1.686.616,02</w:t>
            </w:r>
          </w:p>
        </w:tc>
        <w:tc>
          <w:tcPr>
            <w:tcW w:w="1458"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right"/>
              <w:rPr>
                <w:rFonts w:ascii="Segoe UI" w:hAnsi="Segoe UI" w:cs="Segoe UI"/>
                <w:color w:val="000000"/>
                <w:sz w:val="18"/>
                <w:szCs w:val="18"/>
                <w:lang w:eastAsia="hr-HR"/>
              </w:rPr>
            </w:pPr>
            <w:r w:rsidRPr="00D15B3E">
              <w:rPr>
                <w:rFonts w:ascii="Segoe UI" w:hAnsi="Segoe UI" w:cs="Segoe UI"/>
                <w:color w:val="000000"/>
                <w:sz w:val="18"/>
                <w:szCs w:val="18"/>
                <w:lang w:eastAsia="hr-HR"/>
              </w:rPr>
              <w:t>0,00</w:t>
            </w:r>
          </w:p>
        </w:tc>
        <w:tc>
          <w:tcPr>
            <w:tcW w:w="1051"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right"/>
              <w:rPr>
                <w:rFonts w:ascii="Segoe UI" w:hAnsi="Segoe UI" w:cs="Segoe UI"/>
                <w:color w:val="000000"/>
                <w:sz w:val="18"/>
                <w:szCs w:val="18"/>
                <w:lang w:eastAsia="hr-HR"/>
              </w:rPr>
            </w:pPr>
            <w:r w:rsidRPr="00D15B3E">
              <w:rPr>
                <w:rFonts w:ascii="Segoe UI" w:hAnsi="Segoe UI" w:cs="Segoe UI"/>
                <w:color w:val="000000"/>
                <w:sz w:val="18"/>
                <w:szCs w:val="18"/>
                <w:lang w:eastAsia="hr-HR"/>
              </w:rPr>
              <w:t>0,00</w:t>
            </w:r>
          </w:p>
        </w:tc>
        <w:tc>
          <w:tcPr>
            <w:tcW w:w="1398" w:type="dxa"/>
            <w:tcBorders>
              <w:top w:val="nil"/>
              <w:left w:val="nil"/>
              <w:bottom w:val="single" w:sz="4" w:space="0" w:color="auto"/>
              <w:right w:val="single" w:sz="4" w:space="0" w:color="auto"/>
            </w:tcBorders>
            <w:shd w:val="clear" w:color="auto" w:fill="auto"/>
            <w:hideMark/>
          </w:tcPr>
          <w:p w:rsidR="00D15B3E" w:rsidRPr="00D15B3E" w:rsidRDefault="00D15B3E" w:rsidP="00D15B3E">
            <w:pPr>
              <w:jc w:val="right"/>
              <w:rPr>
                <w:rFonts w:ascii="Segoe UI" w:hAnsi="Segoe UI" w:cs="Segoe UI"/>
                <w:color w:val="000000"/>
                <w:sz w:val="18"/>
                <w:szCs w:val="18"/>
                <w:lang w:eastAsia="hr-HR"/>
              </w:rPr>
            </w:pPr>
            <w:r w:rsidRPr="00D15B3E">
              <w:rPr>
                <w:rFonts w:ascii="Segoe UI" w:hAnsi="Segoe UI" w:cs="Segoe UI"/>
                <w:color w:val="000000"/>
                <w:sz w:val="18"/>
                <w:szCs w:val="18"/>
                <w:lang w:eastAsia="hr-HR"/>
              </w:rPr>
              <w:t>1.686.616,02</w:t>
            </w:r>
          </w:p>
        </w:tc>
      </w:tr>
      <w:tr w:rsidR="00D15B3E" w:rsidRPr="00D15B3E" w:rsidTr="00D15B3E">
        <w:trPr>
          <w:trHeight w:val="255"/>
        </w:trPr>
        <w:tc>
          <w:tcPr>
            <w:tcW w:w="887" w:type="dxa"/>
            <w:tcBorders>
              <w:top w:val="nil"/>
              <w:left w:val="single" w:sz="4" w:space="0" w:color="auto"/>
              <w:bottom w:val="single" w:sz="4" w:space="0" w:color="auto"/>
              <w:right w:val="single" w:sz="4" w:space="0" w:color="auto"/>
            </w:tcBorders>
            <w:shd w:val="clear" w:color="000000" w:fill="D3D3D3"/>
            <w:hideMark/>
          </w:tcPr>
          <w:p w:rsidR="00D15B3E" w:rsidRPr="00D15B3E" w:rsidRDefault="00D15B3E" w:rsidP="00D15B3E">
            <w:pPr>
              <w:jc w:val="lef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9222</w:t>
            </w:r>
          </w:p>
        </w:tc>
        <w:tc>
          <w:tcPr>
            <w:tcW w:w="234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lef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MANJAK PRIHODA</w:t>
            </w:r>
          </w:p>
        </w:tc>
        <w:tc>
          <w:tcPr>
            <w:tcW w:w="139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11.165.781,88</w:t>
            </w:r>
          </w:p>
        </w:tc>
        <w:tc>
          <w:tcPr>
            <w:tcW w:w="145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0,00</w:t>
            </w:r>
          </w:p>
        </w:tc>
        <w:tc>
          <w:tcPr>
            <w:tcW w:w="1051"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0,00</w:t>
            </w:r>
          </w:p>
        </w:tc>
        <w:tc>
          <w:tcPr>
            <w:tcW w:w="139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5.790.497,34</w:t>
            </w:r>
          </w:p>
        </w:tc>
      </w:tr>
      <w:tr w:rsidR="00D15B3E" w:rsidRPr="00D15B3E" w:rsidTr="00D15B3E">
        <w:trPr>
          <w:trHeight w:val="255"/>
        </w:trPr>
        <w:tc>
          <w:tcPr>
            <w:tcW w:w="887" w:type="dxa"/>
            <w:tcBorders>
              <w:top w:val="nil"/>
              <w:left w:val="single" w:sz="4" w:space="0" w:color="auto"/>
              <w:bottom w:val="single" w:sz="4" w:space="0" w:color="auto"/>
              <w:right w:val="single" w:sz="4" w:space="0" w:color="auto"/>
            </w:tcBorders>
            <w:shd w:val="clear" w:color="000000" w:fill="D3D3D3"/>
            <w:hideMark/>
          </w:tcPr>
          <w:p w:rsidR="00D15B3E" w:rsidRPr="00D15B3E" w:rsidRDefault="00D15B3E" w:rsidP="00D15B3E">
            <w:pPr>
              <w:jc w:val="lef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922</w:t>
            </w:r>
          </w:p>
        </w:tc>
        <w:tc>
          <w:tcPr>
            <w:tcW w:w="234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lef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VIŠAK/MANJAK PRIHODA</w:t>
            </w:r>
          </w:p>
        </w:tc>
        <w:tc>
          <w:tcPr>
            <w:tcW w:w="139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12.362.821,44</w:t>
            </w:r>
          </w:p>
        </w:tc>
        <w:tc>
          <w:tcPr>
            <w:tcW w:w="145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- 5.375.284,54</w:t>
            </w:r>
          </w:p>
        </w:tc>
        <w:tc>
          <w:tcPr>
            <w:tcW w:w="1051"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0,00</w:t>
            </w:r>
          </w:p>
        </w:tc>
        <w:tc>
          <w:tcPr>
            <w:tcW w:w="139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12.362.821,44</w:t>
            </w:r>
          </w:p>
        </w:tc>
      </w:tr>
      <w:tr w:rsidR="00D15B3E" w:rsidRPr="00D15B3E" w:rsidTr="00D15B3E">
        <w:trPr>
          <w:trHeight w:val="255"/>
        </w:trPr>
        <w:tc>
          <w:tcPr>
            <w:tcW w:w="887" w:type="dxa"/>
            <w:tcBorders>
              <w:top w:val="nil"/>
              <w:left w:val="single" w:sz="4" w:space="0" w:color="auto"/>
              <w:bottom w:val="single" w:sz="4" w:space="0" w:color="auto"/>
              <w:right w:val="single" w:sz="4" w:space="0" w:color="auto"/>
            </w:tcBorders>
            <w:shd w:val="clear" w:color="000000" w:fill="D3D3D3"/>
            <w:hideMark/>
          </w:tcPr>
          <w:p w:rsidR="00D15B3E" w:rsidRPr="00D15B3E" w:rsidRDefault="00D15B3E" w:rsidP="00D15B3E">
            <w:pPr>
              <w:jc w:val="lef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92</w:t>
            </w:r>
          </w:p>
        </w:tc>
        <w:tc>
          <w:tcPr>
            <w:tcW w:w="234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lef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REZULTAT POSLOVANJA</w:t>
            </w:r>
          </w:p>
        </w:tc>
        <w:tc>
          <w:tcPr>
            <w:tcW w:w="139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12.362.821,44</w:t>
            </w:r>
          </w:p>
        </w:tc>
        <w:tc>
          <w:tcPr>
            <w:tcW w:w="145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0,00</w:t>
            </w:r>
          </w:p>
        </w:tc>
        <w:tc>
          <w:tcPr>
            <w:tcW w:w="1051"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0,00</w:t>
            </w:r>
          </w:p>
        </w:tc>
        <w:tc>
          <w:tcPr>
            <w:tcW w:w="139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12.362.821,44</w:t>
            </w:r>
          </w:p>
        </w:tc>
      </w:tr>
      <w:tr w:rsidR="00D15B3E" w:rsidRPr="00D15B3E" w:rsidTr="00D15B3E">
        <w:trPr>
          <w:trHeight w:val="255"/>
        </w:trPr>
        <w:tc>
          <w:tcPr>
            <w:tcW w:w="887" w:type="dxa"/>
            <w:tcBorders>
              <w:top w:val="nil"/>
              <w:left w:val="single" w:sz="4" w:space="0" w:color="auto"/>
              <w:bottom w:val="single" w:sz="4" w:space="0" w:color="auto"/>
              <w:right w:val="single" w:sz="4" w:space="0" w:color="auto"/>
            </w:tcBorders>
            <w:shd w:val="clear" w:color="000000" w:fill="D3D3D3"/>
            <w:hideMark/>
          </w:tcPr>
          <w:p w:rsidR="00D15B3E" w:rsidRPr="00D15B3E" w:rsidRDefault="00D15B3E" w:rsidP="00D15B3E">
            <w:pPr>
              <w:jc w:val="lef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9</w:t>
            </w:r>
          </w:p>
        </w:tc>
        <w:tc>
          <w:tcPr>
            <w:tcW w:w="234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lef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VLASTITI IZVORI</w:t>
            </w:r>
          </w:p>
        </w:tc>
        <w:tc>
          <w:tcPr>
            <w:tcW w:w="139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12.362.821,44</w:t>
            </w:r>
          </w:p>
        </w:tc>
        <w:tc>
          <w:tcPr>
            <w:tcW w:w="145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0,00</w:t>
            </w:r>
          </w:p>
        </w:tc>
        <w:tc>
          <w:tcPr>
            <w:tcW w:w="1051"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0,00</w:t>
            </w:r>
          </w:p>
        </w:tc>
        <w:tc>
          <w:tcPr>
            <w:tcW w:w="139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12.362.821,44</w:t>
            </w:r>
          </w:p>
        </w:tc>
      </w:tr>
      <w:tr w:rsidR="00D15B3E" w:rsidRPr="00D15B3E" w:rsidTr="00D15B3E">
        <w:trPr>
          <w:trHeight w:val="255"/>
        </w:trPr>
        <w:tc>
          <w:tcPr>
            <w:tcW w:w="887" w:type="dxa"/>
            <w:tcBorders>
              <w:top w:val="nil"/>
              <w:left w:val="single" w:sz="4" w:space="0" w:color="auto"/>
              <w:bottom w:val="single" w:sz="4" w:space="0" w:color="auto"/>
              <w:right w:val="single" w:sz="4" w:space="0" w:color="auto"/>
            </w:tcBorders>
            <w:shd w:val="clear" w:color="000000" w:fill="D3D3D3"/>
            <w:hideMark/>
          </w:tcPr>
          <w:p w:rsidR="00D15B3E" w:rsidRPr="00D15B3E" w:rsidRDefault="00D15B3E" w:rsidP="00D15B3E">
            <w:pPr>
              <w:jc w:val="lef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Ukupno</w:t>
            </w:r>
          </w:p>
        </w:tc>
        <w:tc>
          <w:tcPr>
            <w:tcW w:w="234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lef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 </w:t>
            </w:r>
          </w:p>
        </w:tc>
        <w:tc>
          <w:tcPr>
            <w:tcW w:w="139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12.362.821,44</w:t>
            </w:r>
          </w:p>
        </w:tc>
        <w:tc>
          <w:tcPr>
            <w:tcW w:w="145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0,00</w:t>
            </w:r>
          </w:p>
        </w:tc>
        <w:tc>
          <w:tcPr>
            <w:tcW w:w="1051"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0,00</w:t>
            </w:r>
          </w:p>
        </w:tc>
        <w:tc>
          <w:tcPr>
            <w:tcW w:w="1398" w:type="dxa"/>
            <w:tcBorders>
              <w:top w:val="nil"/>
              <w:left w:val="nil"/>
              <w:bottom w:val="single" w:sz="4" w:space="0" w:color="auto"/>
              <w:right w:val="single" w:sz="4" w:space="0" w:color="auto"/>
            </w:tcBorders>
            <w:shd w:val="clear" w:color="000000" w:fill="D3D3D3"/>
            <w:hideMark/>
          </w:tcPr>
          <w:p w:rsidR="00D15B3E" w:rsidRPr="00D15B3E" w:rsidRDefault="00D15B3E" w:rsidP="00D15B3E">
            <w:pPr>
              <w:jc w:val="right"/>
              <w:rPr>
                <w:rFonts w:ascii="Segoe UI" w:hAnsi="Segoe UI" w:cs="Segoe UI"/>
                <w:b/>
                <w:bCs/>
                <w:color w:val="000000"/>
                <w:sz w:val="18"/>
                <w:szCs w:val="18"/>
                <w:lang w:eastAsia="hr-HR"/>
              </w:rPr>
            </w:pPr>
            <w:r w:rsidRPr="00D15B3E">
              <w:rPr>
                <w:rFonts w:ascii="Segoe UI" w:hAnsi="Segoe UI" w:cs="Segoe UI"/>
                <w:b/>
                <w:bCs/>
                <w:color w:val="000000"/>
                <w:sz w:val="18"/>
                <w:szCs w:val="18"/>
                <w:lang w:eastAsia="hr-HR"/>
              </w:rPr>
              <w:t>12.362.821,44</w:t>
            </w:r>
          </w:p>
        </w:tc>
      </w:tr>
    </w:tbl>
    <w:p w:rsidR="006E11F2" w:rsidRDefault="006E11F2" w:rsidP="00E078D8"/>
    <w:p w:rsidR="008045BC" w:rsidRDefault="008045BC" w:rsidP="008045BC">
      <w:pPr>
        <w:autoSpaceDE w:val="0"/>
        <w:autoSpaceDN w:val="0"/>
        <w:adjustRightInd w:val="0"/>
      </w:pPr>
      <w:r w:rsidRPr="002E4418">
        <w:t>U tijeku 202</w:t>
      </w:r>
      <w:r w:rsidR="006E11F2">
        <w:t>3</w:t>
      </w:r>
      <w:r w:rsidRPr="002E4418">
        <w:t>. godine donesena je Odluka o raspodijeli rezultata za 202</w:t>
      </w:r>
      <w:r w:rsidR="006E11F2">
        <w:t>2</w:t>
      </w:r>
      <w:r w:rsidR="00A852CA">
        <w:t>.</w:t>
      </w:r>
      <w:r w:rsidRPr="002E4418">
        <w:t xml:space="preserve"> godinu KLASA: </w:t>
      </w:r>
      <w:r w:rsidR="006E11F2">
        <w:rPr>
          <w:rFonts w:ascii="ArialMT" w:hAnsi="ArialMT" w:cs="ArialMT"/>
          <w:szCs w:val="22"/>
          <w:lang w:eastAsia="hr-HR"/>
        </w:rPr>
        <w:t>400-01/23-01/01</w:t>
      </w:r>
      <w:r w:rsidRPr="002E4418">
        <w:t xml:space="preserve">, URBROJ: </w:t>
      </w:r>
      <w:r w:rsidR="006E11F2" w:rsidRPr="006E11F2">
        <w:t xml:space="preserve">2163-01/3-23-03 </w:t>
      </w:r>
      <w:r w:rsidRPr="002E4418">
        <w:t xml:space="preserve">od </w:t>
      </w:r>
      <w:r w:rsidR="00A852CA">
        <w:t>1</w:t>
      </w:r>
      <w:r w:rsidR="006E11F2">
        <w:t>3</w:t>
      </w:r>
      <w:r w:rsidRPr="002E4418">
        <w:t xml:space="preserve">. </w:t>
      </w:r>
      <w:r w:rsidR="00A852CA">
        <w:t>s</w:t>
      </w:r>
      <w:r w:rsidR="006E11F2">
        <w:t>rpnja</w:t>
      </w:r>
      <w:r w:rsidRPr="002E4418">
        <w:t xml:space="preserve"> 202</w:t>
      </w:r>
      <w:r w:rsidR="006E11F2">
        <w:t>3</w:t>
      </w:r>
      <w:r w:rsidRPr="002E4418">
        <w:t>. kojom se iz viška pri</w:t>
      </w:r>
      <w:r w:rsidR="006E11F2">
        <w:t>hoda od poslovanja u i</w:t>
      </w:r>
      <w:r w:rsidRPr="002E4418">
        <w:t xml:space="preserve">znosu od </w:t>
      </w:r>
      <w:r w:rsidR="00A852CA">
        <w:t>1</w:t>
      </w:r>
      <w:r w:rsidR="006E11F2">
        <w:t>7.815.174,09eur</w:t>
      </w:r>
      <w:r w:rsidRPr="002E4418">
        <w:t xml:space="preserve"> pokriva manjak prihoda od nefinancijske imovine</w:t>
      </w:r>
      <w:r w:rsidR="00582C18">
        <w:t xml:space="preserve"> u iznosu od 2.232.251,27eur i 2.778.797,39eur,</w:t>
      </w:r>
      <w:r w:rsidRPr="002E4418">
        <w:t xml:space="preserve"> pa je time ukupan višak prihoda poslovanja koji je prenesen u 202</w:t>
      </w:r>
      <w:r w:rsidR="00582C18">
        <w:t>3</w:t>
      </w:r>
      <w:r w:rsidRPr="002E4418">
        <w:t xml:space="preserve">. godini za Istarsku županiju iznosio </w:t>
      </w:r>
      <w:r w:rsidR="00582C18">
        <w:t>12.804.125,43eur</w:t>
      </w:r>
      <w:r w:rsidRPr="002E4418">
        <w:t xml:space="preserve">. </w:t>
      </w:r>
    </w:p>
    <w:p w:rsidR="008045BC" w:rsidRPr="003538F2" w:rsidRDefault="008045BC" w:rsidP="008045BC"/>
    <w:p w:rsidR="008045BC" w:rsidRDefault="008045BC" w:rsidP="008045BC">
      <w:r w:rsidRPr="003538F2">
        <w:t xml:space="preserve">Na </w:t>
      </w:r>
      <w:r w:rsidR="000E2398">
        <w:t>šifri</w:t>
      </w:r>
      <w:r w:rsidR="00F5048D">
        <w:t xml:space="preserve"> </w:t>
      </w:r>
      <w:r w:rsidR="000E2398">
        <w:t xml:space="preserve">991 </w:t>
      </w:r>
      <w:r w:rsidRPr="003538F2">
        <w:t>evidentirana je vanbilančna evidencija</w:t>
      </w:r>
      <w:r>
        <w:t xml:space="preserve"> koja na dan 31.12.202</w:t>
      </w:r>
      <w:r w:rsidR="004438C3">
        <w:t>3</w:t>
      </w:r>
      <w:r>
        <w:t>.</w:t>
      </w:r>
      <w:r w:rsidR="000E2398">
        <w:t xml:space="preserve">godine </w:t>
      </w:r>
      <w:r w:rsidRPr="003538F2">
        <w:t xml:space="preserve">iznosi </w:t>
      </w:r>
      <w:r w:rsidR="00D15B3E" w:rsidRPr="00D15B3E">
        <w:t>172.947.870,17</w:t>
      </w:r>
      <w:r w:rsidR="004438C3">
        <w:t>eur</w:t>
      </w:r>
      <w:r w:rsidR="009B064C">
        <w:t>. Ista</w:t>
      </w:r>
      <w:r w:rsidRPr="003538F2">
        <w:t xml:space="preserve"> je </w:t>
      </w:r>
      <w:r w:rsidR="000E2398">
        <w:t>povećana</w:t>
      </w:r>
      <w:r w:rsidRPr="003538F2">
        <w:t xml:space="preserve"> u odnosu na prethodnu godinu za </w:t>
      </w:r>
      <w:r w:rsidR="00D15B3E">
        <w:t>49,6</w:t>
      </w:r>
      <w:r>
        <w:t>%</w:t>
      </w:r>
      <w:r w:rsidRPr="003538F2">
        <w:t xml:space="preserve"> i to za knjiženja instrumen</w:t>
      </w:r>
      <w:r>
        <w:t>a</w:t>
      </w:r>
      <w:r w:rsidRPr="003538F2">
        <w:t>ta osiguranja plaćanja u 20</w:t>
      </w:r>
      <w:r>
        <w:t>2</w:t>
      </w:r>
      <w:r w:rsidR="004438C3">
        <w:t>3</w:t>
      </w:r>
      <w:r>
        <w:t>.</w:t>
      </w:r>
      <w:r w:rsidRPr="003538F2">
        <w:t xml:space="preserve"> godini i potencijaln</w:t>
      </w:r>
      <w:r>
        <w:t>ih</w:t>
      </w:r>
      <w:r w:rsidRPr="003538F2">
        <w:t xml:space="preserve"> obvez</w:t>
      </w:r>
      <w:r>
        <w:t>a</w:t>
      </w:r>
      <w:r w:rsidR="00C65EBC">
        <w:t xml:space="preserve"> za sudske sporove. </w:t>
      </w:r>
      <w:r w:rsidRPr="003538F2">
        <w:t>Početno stanje primljenih i danih instrumenata plaćanja na dan 01.01.20</w:t>
      </w:r>
      <w:r>
        <w:t>2</w:t>
      </w:r>
      <w:r w:rsidR="004438C3">
        <w:t>3</w:t>
      </w:r>
      <w:r w:rsidR="009B064C">
        <w:t>.</w:t>
      </w:r>
      <w:r>
        <w:t xml:space="preserve"> </w:t>
      </w:r>
      <w:r w:rsidRPr="003538F2">
        <w:t xml:space="preserve">iznosi </w:t>
      </w:r>
      <w:r w:rsidR="004438C3">
        <w:t>81.892.077,21eur</w:t>
      </w:r>
      <w:r w:rsidRPr="003538F2">
        <w:t>. Primljeni i izdani instrumenti osiguranja plaćanja</w:t>
      </w:r>
      <w:r>
        <w:t xml:space="preserve"> su se tijekom 202</w:t>
      </w:r>
      <w:r w:rsidR="004438C3">
        <w:t>3</w:t>
      </w:r>
      <w:r w:rsidR="009B064C">
        <w:t>.</w:t>
      </w:r>
      <w:r>
        <w:t xml:space="preserve"> </w:t>
      </w:r>
      <w:r>
        <w:lastRenderedPageBreak/>
        <w:t xml:space="preserve">godine </w:t>
      </w:r>
      <w:r w:rsidR="000E2398">
        <w:t xml:space="preserve">povećali za </w:t>
      </w:r>
      <w:r w:rsidR="004438C3">
        <w:t>59.146.946,32eur</w:t>
      </w:r>
      <w:r w:rsidR="000E2398">
        <w:t xml:space="preserve"> i </w:t>
      </w:r>
      <w:r>
        <w:t xml:space="preserve">smanjili za </w:t>
      </w:r>
      <w:r w:rsidR="000E2398">
        <w:t>2</w:t>
      </w:r>
      <w:r w:rsidR="004438C3">
        <w:t>.446.638,08eur</w:t>
      </w:r>
      <w:r w:rsidRPr="003538F2">
        <w:t xml:space="preserve"> </w:t>
      </w:r>
      <w:r>
        <w:t>i na dan 31.12.202</w:t>
      </w:r>
      <w:r w:rsidR="004438C3">
        <w:t>3</w:t>
      </w:r>
      <w:r w:rsidR="000E2398">
        <w:t xml:space="preserve">. godine iznose </w:t>
      </w:r>
      <w:r w:rsidR="004438C3" w:rsidRPr="004438C3">
        <w:t>138.592.385,20</w:t>
      </w:r>
      <w:r w:rsidR="004438C3">
        <w:t>eur</w:t>
      </w:r>
      <w:r w:rsidRPr="003538F2">
        <w:t xml:space="preserve">. </w:t>
      </w:r>
      <w:r>
        <w:t xml:space="preserve"> </w:t>
      </w:r>
    </w:p>
    <w:p w:rsidR="007829D5" w:rsidRDefault="007829D5" w:rsidP="008045BC"/>
    <w:p w:rsidR="00F5048D" w:rsidRDefault="00E94B43" w:rsidP="008045BC">
      <w:r w:rsidRPr="00E40404">
        <w:rPr>
          <w:rFonts w:ascii="Calibri" w:hAnsi="Calibri" w:cs="Calibri"/>
          <w:b/>
          <w:bCs/>
          <w:color w:val="000000"/>
          <w:szCs w:val="22"/>
          <w:lang w:eastAsia="hr-HR"/>
        </w:rPr>
        <w:t>Tablica: S</w:t>
      </w:r>
      <w:r>
        <w:rPr>
          <w:rFonts w:ascii="Calibri" w:hAnsi="Calibri" w:cs="Calibri"/>
          <w:b/>
          <w:bCs/>
          <w:color w:val="000000"/>
          <w:szCs w:val="22"/>
          <w:lang w:eastAsia="hr-HR"/>
        </w:rPr>
        <w:t xml:space="preserve">tanje primljenih i danih instrumenata osiguranja plaćanja </w:t>
      </w:r>
      <w:r w:rsidRPr="00E40404">
        <w:rPr>
          <w:rFonts w:ascii="Calibri" w:hAnsi="Calibri" w:cs="Calibri"/>
          <w:b/>
          <w:bCs/>
          <w:color w:val="000000"/>
          <w:szCs w:val="22"/>
          <w:lang w:eastAsia="hr-HR"/>
        </w:rPr>
        <w:t>Istarske županije</w:t>
      </w:r>
      <w:r>
        <w:rPr>
          <w:rFonts w:ascii="Calibri" w:hAnsi="Calibri" w:cs="Calibri"/>
          <w:b/>
          <w:bCs/>
          <w:color w:val="000000"/>
          <w:szCs w:val="22"/>
          <w:lang w:eastAsia="hr-HR"/>
        </w:rPr>
        <w:t xml:space="preserve"> </w:t>
      </w:r>
      <w:r w:rsidRPr="00E40404">
        <w:rPr>
          <w:rFonts w:ascii="Calibri" w:hAnsi="Calibri" w:cs="Calibri"/>
          <w:b/>
          <w:bCs/>
          <w:color w:val="000000"/>
          <w:szCs w:val="22"/>
          <w:lang w:eastAsia="hr-HR"/>
        </w:rPr>
        <w:t>na dan 31.12.202</w:t>
      </w:r>
      <w:r w:rsidR="004438C3">
        <w:rPr>
          <w:rFonts w:ascii="Calibri" w:hAnsi="Calibri" w:cs="Calibri"/>
          <w:b/>
          <w:bCs/>
          <w:color w:val="000000"/>
          <w:szCs w:val="22"/>
          <w:lang w:eastAsia="hr-HR"/>
        </w:rPr>
        <w:t>3</w:t>
      </w:r>
      <w:r w:rsidRPr="00E40404">
        <w:rPr>
          <w:rFonts w:ascii="Calibri" w:hAnsi="Calibri" w:cs="Calibri"/>
          <w:b/>
          <w:bCs/>
          <w:color w:val="000000"/>
          <w:szCs w:val="22"/>
          <w:lang w:eastAsia="hr-HR"/>
        </w:rPr>
        <w:t>. godine</w:t>
      </w:r>
    </w:p>
    <w:tbl>
      <w:tblPr>
        <w:tblW w:w="9100" w:type="dxa"/>
        <w:tblLook w:val="04A0" w:firstRow="1" w:lastRow="0" w:firstColumn="1" w:lastColumn="0" w:noHBand="0" w:noVBand="1"/>
      </w:tblPr>
      <w:tblGrid>
        <w:gridCol w:w="1417"/>
        <w:gridCol w:w="1740"/>
        <w:gridCol w:w="1360"/>
        <w:gridCol w:w="1506"/>
        <w:gridCol w:w="1460"/>
        <w:gridCol w:w="1617"/>
      </w:tblGrid>
      <w:tr w:rsidR="004438C3" w:rsidRPr="004438C3" w:rsidTr="003326B8">
        <w:trPr>
          <w:trHeight w:val="735"/>
        </w:trPr>
        <w:tc>
          <w:tcPr>
            <w:tcW w:w="1417" w:type="dxa"/>
            <w:tcBorders>
              <w:top w:val="single" w:sz="4" w:space="0" w:color="auto"/>
              <w:left w:val="single" w:sz="4" w:space="0" w:color="auto"/>
              <w:bottom w:val="single" w:sz="4" w:space="0" w:color="auto"/>
              <w:right w:val="single" w:sz="4" w:space="0" w:color="000000"/>
            </w:tcBorders>
            <w:shd w:val="clear" w:color="000000" w:fill="D0CECE"/>
            <w:vAlign w:val="center"/>
            <w:hideMark/>
          </w:tcPr>
          <w:p w:rsidR="004438C3" w:rsidRPr="004438C3" w:rsidRDefault="004438C3" w:rsidP="004438C3">
            <w:pPr>
              <w:jc w:val="center"/>
              <w:rPr>
                <w:rFonts w:cs="Arial"/>
                <w:b/>
                <w:bCs/>
                <w:sz w:val="18"/>
                <w:szCs w:val="18"/>
                <w:lang w:eastAsia="hr-HR"/>
              </w:rPr>
            </w:pPr>
            <w:r w:rsidRPr="004438C3">
              <w:rPr>
                <w:rFonts w:cs="Arial"/>
                <w:b/>
                <w:bCs/>
                <w:sz w:val="18"/>
                <w:szCs w:val="18"/>
                <w:lang w:eastAsia="hr-HR"/>
              </w:rPr>
              <w:t>OPIS</w:t>
            </w:r>
          </w:p>
        </w:tc>
        <w:tc>
          <w:tcPr>
            <w:tcW w:w="1740" w:type="dxa"/>
            <w:tcBorders>
              <w:top w:val="single" w:sz="4" w:space="0" w:color="auto"/>
              <w:left w:val="nil"/>
              <w:bottom w:val="single" w:sz="4" w:space="0" w:color="auto"/>
              <w:right w:val="single" w:sz="4" w:space="0" w:color="auto"/>
            </w:tcBorders>
            <w:shd w:val="clear" w:color="000000" w:fill="D0CECE"/>
            <w:vAlign w:val="bottom"/>
            <w:hideMark/>
          </w:tcPr>
          <w:p w:rsidR="004438C3" w:rsidRPr="004438C3" w:rsidRDefault="004438C3" w:rsidP="004438C3">
            <w:pPr>
              <w:jc w:val="left"/>
              <w:rPr>
                <w:rFonts w:cs="Arial"/>
                <w:b/>
                <w:bCs/>
                <w:sz w:val="18"/>
                <w:szCs w:val="18"/>
                <w:lang w:eastAsia="hr-HR"/>
              </w:rPr>
            </w:pPr>
            <w:r w:rsidRPr="004438C3">
              <w:rPr>
                <w:rFonts w:cs="Arial"/>
                <w:b/>
                <w:bCs/>
                <w:sz w:val="18"/>
                <w:szCs w:val="18"/>
                <w:lang w:eastAsia="hr-HR"/>
              </w:rPr>
              <w:t>Početno stanje 01.01.2023. godine</w:t>
            </w:r>
          </w:p>
        </w:tc>
        <w:tc>
          <w:tcPr>
            <w:tcW w:w="1360" w:type="dxa"/>
            <w:tcBorders>
              <w:top w:val="single" w:sz="4" w:space="0" w:color="auto"/>
              <w:left w:val="nil"/>
              <w:bottom w:val="single" w:sz="4" w:space="0" w:color="auto"/>
              <w:right w:val="single" w:sz="4" w:space="0" w:color="auto"/>
            </w:tcBorders>
            <w:shd w:val="clear" w:color="000000" w:fill="D0CECE"/>
            <w:vAlign w:val="bottom"/>
            <w:hideMark/>
          </w:tcPr>
          <w:p w:rsidR="004438C3" w:rsidRPr="004438C3" w:rsidRDefault="004438C3" w:rsidP="004438C3">
            <w:pPr>
              <w:jc w:val="left"/>
              <w:rPr>
                <w:rFonts w:cs="Arial"/>
                <w:b/>
                <w:bCs/>
                <w:sz w:val="18"/>
                <w:szCs w:val="18"/>
                <w:lang w:eastAsia="hr-HR"/>
              </w:rPr>
            </w:pPr>
            <w:r w:rsidRPr="004438C3">
              <w:rPr>
                <w:rFonts w:cs="Arial"/>
                <w:b/>
                <w:bCs/>
                <w:sz w:val="18"/>
                <w:szCs w:val="18"/>
                <w:lang w:eastAsia="hr-HR"/>
              </w:rPr>
              <w:t xml:space="preserve">Usklađenje po analitici </w:t>
            </w:r>
          </w:p>
        </w:tc>
        <w:tc>
          <w:tcPr>
            <w:tcW w:w="1506" w:type="dxa"/>
            <w:tcBorders>
              <w:top w:val="single" w:sz="4" w:space="0" w:color="auto"/>
              <w:left w:val="nil"/>
              <w:bottom w:val="single" w:sz="4" w:space="0" w:color="auto"/>
              <w:right w:val="single" w:sz="4" w:space="0" w:color="auto"/>
            </w:tcBorders>
            <w:shd w:val="clear" w:color="000000" w:fill="D0CECE"/>
            <w:vAlign w:val="bottom"/>
            <w:hideMark/>
          </w:tcPr>
          <w:p w:rsidR="004438C3" w:rsidRPr="004438C3" w:rsidRDefault="004438C3" w:rsidP="004438C3">
            <w:pPr>
              <w:jc w:val="left"/>
              <w:rPr>
                <w:rFonts w:cs="Arial"/>
                <w:b/>
                <w:bCs/>
                <w:sz w:val="18"/>
                <w:szCs w:val="18"/>
                <w:lang w:eastAsia="hr-HR"/>
              </w:rPr>
            </w:pPr>
            <w:r w:rsidRPr="004438C3">
              <w:rPr>
                <w:rFonts w:cs="Arial"/>
                <w:b/>
                <w:bCs/>
                <w:sz w:val="18"/>
                <w:szCs w:val="18"/>
                <w:lang w:eastAsia="hr-HR"/>
              </w:rPr>
              <w:t>Primljeni instrumenti</w:t>
            </w:r>
          </w:p>
        </w:tc>
        <w:tc>
          <w:tcPr>
            <w:tcW w:w="1460" w:type="dxa"/>
            <w:tcBorders>
              <w:top w:val="single" w:sz="4" w:space="0" w:color="auto"/>
              <w:left w:val="nil"/>
              <w:bottom w:val="single" w:sz="4" w:space="0" w:color="auto"/>
              <w:right w:val="single" w:sz="4" w:space="0" w:color="auto"/>
            </w:tcBorders>
            <w:shd w:val="clear" w:color="000000" w:fill="D0CECE"/>
            <w:vAlign w:val="bottom"/>
            <w:hideMark/>
          </w:tcPr>
          <w:p w:rsidR="004438C3" w:rsidRPr="004438C3" w:rsidRDefault="004438C3" w:rsidP="004438C3">
            <w:pPr>
              <w:jc w:val="left"/>
              <w:rPr>
                <w:rFonts w:cs="Arial"/>
                <w:b/>
                <w:bCs/>
                <w:sz w:val="18"/>
                <w:szCs w:val="18"/>
                <w:lang w:eastAsia="hr-HR"/>
              </w:rPr>
            </w:pPr>
            <w:r w:rsidRPr="004438C3">
              <w:rPr>
                <w:rFonts w:cs="Arial"/>
                <w:b/>
                <w:bCs/>
                <w:sz w:val="18"/>
                <w:szCs w:val="18"/>
                <w:lang w:eastAsia="hr-HR"/>
              </w:rPr>
              <w:t>Vraćeni instrumenti u 2023.godini</w:t>
            </w:r>
          </w:p>
        </w:tc>
        <w:tc>
          <w:tcPr>
            <w:tcW w:w="1617" w:type="dxa"/>
            <w:tcBorders>
              <w:top w:val="single" w:sz="4" w:space="0" w:color="auto"/>
              <w:left w:val="nil"/>
              <w:bottom w:val="single" w:sz="4" w:space="0" w:color="auto"/>
              <w:right w:val="single" w:sz="4" w:space="0" w:color="auto"/>
            </w:tcBorders>
            <w:shd w:val="clear" w:color="000000" w:fill="D0CECE"/>
            <w:noWrap/>
            <w:vAlign w:val="bottom"/>
            <w:hideMark/>
          </w:tcPr>
          <w:p w:rsidR="004438C3" w:rsidRPr="004438C3" w:rsidRDefault="004438C3" w:rsidP="004438C3">
            <w:pPr>
              <w:jc w:val="left"/>
              <w:rPr>
                <w:rFonts w:cs="Arial"/>
                <w:b/>
                <w:bCs/>
                <w:sz w:val="18"/>
                <w:szCs w:val="18"/>
                <w:lang w:eastAsia="hr-HR"/>
              </w:rPr>
            </w:pPr>
            <w:r w:rsidRPr="004438C3">
              <w:rPr>
                <w:rFonts w:cs="Arial"/>
                <w:b/>
                <w:bCs/>
                <w:sz w:val="18"/>
                <w:szCs w:val="18"/>
                <w:lang w:eastAsia="hr-HR"/>
              </w:rPr>
              <w:t>Završno stanje</w:t>
            </w:r>
          </w:p>
        </w:tc>
      </w:tr>
      <w:tr w:rsidR="004438C3" w:rsidRPr="004438C3" w:rsidTr="003326B8">
        <w:trPr>
          <w:trHeight w:val="90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438C3" w:rsidRPr="004438C3" w:rsidRDefault="004438C3" w:rsidP="004438C3">
            <w:pPr>
              <w:jc w:val="center"/>
              <w:rPr>
                <w:rFonts w:ascii="Calibri" w:hAnsi="Calibri" w:cs="Calibri"/>
                <w:color w:val="000000"/>
                <w:szCs w:val="22"/>
                <w:lang w:eastAsia="hr-HR"/>
              </w:rPr>
            </w:pPr>
            <w:r w:rsidRPr="004438C3">
              <w:rPr>
                <w:rFonts w:ascii="Calibri" w:hAnsi="Calibri" w:cs="Calibri"/>
                <w:color w:val="000000"/>
                <w:szCs w:val="22"/>
                <w:lang w:eastAsia="hr-HR"/>
              </w:rPr>
              <w:t xml:space="preserve">Ukupno PRIMLJENI instrumenti plaćanja </w:t>
            </w:r>
          </w:p>
        </w:tc>
        <w:tc>
          <w:tcPr>
            <w:tcW w:w="1740" w:type="dxa"/>
            <w:tcBorders>
              <w:top w:val="nil"/>
              <w:left w:val="nil"/>
              <w:bottom w:val="single" w:sz="4" w:space="0" w:color="auto"/>
              <w:right w:val="single" w:sz="4" w:space="0" w:color="auto"/>
            </w:tcBorders>
            <w:shd w:val="clear" w:color="auto" w:fill="auto"/>
            <w:noWrap/>
            <w:vAlign w:val="bottom"/>
            <w:hideMark/>
          </w:tcPr>
          <w:p w:rsidR="004438C3" w:rsidRPr="004438C3" w:rsidRDefault="004438C3" w:rsidP="004438C3">
            <w:pPr>
              <w:jc w:val="right"/>
              <w:rPr>
                <w:rFonts w:ascii="Calibri" w:hAnsi="Calibri" w:cs="Calibri"/>
                <w:color w:val="000000"/>
                <w:szCs w:val="22"/>
                <w:lang w:eastAsia="hr-HR"/>
              </w:rPr>
            </w:pPr>
            <w:r w:rsidRPr="004438C3">
              <w:rPr>
                <w:rFonts w:ascii="Calibri" w:hAnsi="Calibri" w:cs="Calibri"/>
                <w:color w:val="000000"/>
                <w:szCs w:val="22"/>
                <w:lang w:eastAsia="hr-HR"/>
              </w:rPr>
              <w:t>54.710.954,95</w:t>
            </w:r>
          </w:p>
        </w:tc>
        <w:tc>
          <w:tcPr>
            <w:tcW w:w="1360" w:type="dxa"/>
            <w:tcBorders>
              <w:top w:val="nil"/>
              <w:left w:val="nil"/>
              <w:bottom w:val="single" w:sz="4" w:space="0" w:color="auto"/>
              <w:right w:val="single" w:sz="4" w:space="0" w:color="auto"/>
            </w:tcBorders>
            <w:shd w:val="clear" w:color="auto" w:fill="auto"/>
            <w:noWrap/>
            <w:vAlign w:val="bottom"/>
            <w:hideMark/>
          </w:tcPr>
          <w:p w:rsidR="004438C3" w:rsidRPr="004438C3" w:rsidRDefault="004438C3" w:rsidP="004438C3">
            <w:pPr>
              <w:jc w:val="right"/>
              <w:rPr>
                <w:rFonts w:ascii="Calibri" w:hAnsi="Calibri" w:cs="Calibri"/>
                <w:color w:val="000000"/>
                <w:szCs w:val="22"/>
                <w:lang w:eastAsia="hr-HR"/>
              </w:rPr>
            </w:pPr>
            <w:r w:rsidRPr="004438C3">
              <w:rPr>
                <w:rFonts w:ascii="Calibri" w:hAnsi="Calibri" w:cs="Calibri"/>
                <w:color w:val="000000"/>
                <w:szCs w:val="22"/>
                <w:lang w:eastAsia="hr-HR"/>
              </w:rPr>
              <w:t>-0,25</w:t>
            </w:r>
          </w:p>
        </w:tc>
        <w:tc>
          <w:tcPr>
            <w:tcW w:w="1506" w:type="dxa"/>
            <w:tcBorders>
              <w:top w:val="nil"/>
              <w:left w:val="nil"/>
              <w:bottom w:val="single" w:sz="4" w:space="0" w:color="auto"/>
              <w:right w:val="single" w:sz="4" w:space="0" w:color="auto"/>
            </w:tcBorders>
            <w:shd w:val="clear" w:color="auto" w:fill="auto"/>
            <w:noWrap/>
            <w:vAlign w:val="bottom"/>
            <w:hideMark/>
          </w:tcPr>
          <w:p w:rsidR="004438C3" w:rsidRPr="004438C3" w:rsidRDefault="004438C3" w:rsidP="004438C3">
            <w:pPr>
              <w:jc w:val="right"/>
              <w:rPr>
                <w:rFonts w:ascii="Calibri" w:hAnsi="Calibri" w:cs="Calibri"/>
                <w:color w:val="000000"/>
                <w:szCs w:val="22"/>
                <w:lang w:eastAsia="hr-HR"/>
              </w:rPr>
            </w:pPr>
            <w:r w:rsidRPr="004438C3">
              <w:rPr>
                <w:rFonts w:ascii="Calibri" w:hAnsi="Calibri" w:cs="Calibri"/>
                <w:color w:val="000000"/>
                <w:szCs w:val="22"/>
                <w:lang w:eastAsia="hr-HR"/>
              </w:rPr>
              <w:t>43.821.946,32</w:t>
            </w:r>
          </w:p>
        </w:tc>
        <w:tc>
          <w:tcPr>
            <w:tcW w:w="1460" w:type="dxa"/>
            <w:tcBorders>
              <w:top w:val="nil"/>
              <w:left w:val="nil"/>
              <w:bottom w:val="single" w:sz="4" w:space="0" w:color="auto"/>
              <w:right w:val="single" w:sz="4" w:space="0" w:color="auto"/>
            </w:tcBorders>
            <w:shd w:val="clear" w:color="auto" w:fill="auto"/>
            <w:noWrap/>
            <w:vAlign w:val="bottom"/>
            <w:hideMark/>
          </w:tcPr>
          <w:p w:rsidR="004438C3" w:rsidRPr="004438C3" w:rsidRDefault="004438C3" w:rsidP="004438C3">
            <w:pPr>
              <w:jc w:val="right"/>
              <w:rPr>
                <w:rFonts w:ascii="Calibri" w:hAnsi="Calibri" w:cs="Calibri"/>
                <w:color w:val="000000"/>
                <w:szCs w:val="22"/>
                <w:lang w:eastAsia="hr-HR"/>
              </w:rPr>
            </w:pPr>
            <w:r w:rsidRPr="004438C3">
              <w:rPr>
                <w:rFonts w:ascii="Calibri" w:hAnsi="Calibri" w:cs="Calibri"/>
                <w:color w:val="000000"/>
                <w:szCs w:val="22"/>
                <w:lang w:eastAsia="hr-HR"/>
              </w:rPr>
              <w:t>2.242.244,95</w:t>
            </w:r>
          </w:p>
        </w:tc>
        <w:tc>
          <w:tcPr>
            <w:tcW w:w="1617" w:type="dxa"/>
            <w:tcBorders>
              <w:top w:val="nil"/>
              <w:left w:val="nil"/>
              <w:bottom w:val="single" w:sz="4" w:space="0" w:color="auto"/>
              <w:right w:val="single" w:sz="4" w:space="0" w:color="auto"/>
            </w:tcBorders>
            <w:shd w:val="clear" w:color="auto" w:fill="auto"/>
            <w:noWrap/>
            <w:vAlign w:val="bottom"/>
            <w:hideMark/>
          </w:tcPr>
          <w:p w:rsidR="004438C3" w:rsidRPr="004438C3" w:rsidRDefault="004438C3" w:rsidP="004438C3">
            <w:pPr>
              <w:jc w:val="right"/>
              <w:rPr>
                <w:rFonts w:ascii="Calibri" w:hAnsi="Calibri" w:cs="Calibri"/>
                <w:color w:val="000000"/>
                <w:szCs w:val="22"/>
                <w:lang w:eastAsia="hr-HR"/>
              </w:rPr>
            </w:pPr>
            <w:r w:rsidRPr="004438C3">
              <w:rPr>
                <w:rFonts w:ascii="Calibri" w:hAnsi="Calibri" w:cs="Calibri"/>
                <w:color w:val="000000"/>
                <w:szCs w:val="22"/>
                <w:lang w:eastAsia="hr-HR"/>
              </w:rPr>
              <w:t>96.290.656,07</w:t>
            </w:r>
          </w:p>
        </w:tc>
      </w:tr>
      <w:tr w:rsidR="004438C3" w:rsidRPr="004438C3" w:rsidTr="003326B8">
        <w:trPr>
          <w:trHeight w:val="1065"/>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438C3" w:rsidRPr="004438C3" w:rsidRDefault="004438C3" w:rsidP="004438C3">
            <w:pPr>
              <w:jc w:val="center"/>
              <w:rPr>
                <w:rFonts w:ascii="Calibri" w:hAnsi="Calibri" w:cs="Calibri"/>
                <w:color w:val="000000"/>
                <w:szCs w:val="22"/>
                <w:lang w:eastAsia="hr-HR"/>
              </w:rPr>
            </w:pPr>
            <w:r w:rsidRPr="004438C3">
              <w:rPr>
                <w:rFonts w:ascii="Calibri" w:hAnsi="Calibri" w:cs="Calibri"/>
                <w:color w:val="000000"/>
                <w:szCs w:val="22"/>
                <w:lang w:eastAsia="hr-HR"/>
              </w:rPr>
              <w:t>Ukupno IZDANI instrumenti plaćanja</w:t>
            </w:r>
          </w:p>
        </w:tc>
        <w:tc>
          <w:tcPr>
            <w:tcW w:w="1740" w:type="dxa"/>
            <w:tcBorders>
              <w:top w:val="nil"/>
              <w:left w:val="nil"/>
              <w:bottom w:val="single" w:sz="4" w:space="0" w:color="auto"/>
              <w:right w:val="single" w:sz="4" w:space="0" w:color="auto"/>
            </w:tcBorders>
            <w:shd w:val="clear" w:color="auto" w:fill="auto"/>
            <w:noWrap/>
            <w:vAlign w:val="bottom"/>
            <w:hideMark/>
          </w:tcPr>
          <w:p w:rsidR="004438C3" w:rsidRPr="004438C3" w:rsidRDefault="004438C3" w:rsidP="004438C3">
            <w:pPr>
              <w:jc w:val="right"/>
              <w:rPr>
                <w:rFonts w:ascii="Calibri" w:hAnsi="Calibri" w:cs="Calibri"/>
                <w:color w:val="000000"/>
                <w:szCs w:val="22"/>
                <w:lang w:eastAsia="hr-HR"/>
              </w:rPr>
            </w:pPr>
            <w:r w:rsidRPr="004438C3">
              <w:rPr>
                <w:rFonts w:ascii="Calibri" w:hAnsi="Calibri" w:cs="Calibri"/>
                <w:color w:val="000000"/>
                <w:szCs w:val="22"/>
                <w:lang w:eastAsia="hr-HR"/>
              </w:rPr>
              <w:t>27.181.122,26</w:t>
            </w:r>
          </w:p>
        </w:tc>
        <w:tc>
          <w:tcPr>
            <w:tcW w:w="1360" w:type="dxa"/>
            <w:tcBorders>
              <w:top w:val="nil"/>
              <w:left w:val="nil"/>
              <w:bottom w:val="single" w:sz="4" w:space="0" w:color="auto"/>
              <w:right w:val="single" w:sz="4" w:space="0" w:color="auto"/>
            </w:tcBorders>
            <w:shd w:val="clear" w:color="auto" w:fill="auto"/>
            <w:noWrap/>
            <w:vAlign w:val="bottom"/>
            <w:hideMark/>
          </w:tcPr>
          <w:p w:rsidR="004438C3" w:rsidRPr="004438C3" w:rsidRDefault="004438C3" w:rsidP="004438C3">
            <w:pPr>
              <w:jc w:val="right"/>
              <w:rPr>
                <w:rFonts w:ascii="Calibri" w:hAnsi="Calibri" w:cs="Calibri"/>
                <w:color w:val="000000"/>
                <w:szCs w:val="22"/>
                <w:lang w:eastAsia="hr-HR"/>
              </w:rPr>
            </w:pPr>
            <w:r w:rsidRPr="004438C3">
              <w:rPr>
                <w:rFonts w:ascii="Calibri" w:hAnsi="Calibri" w:cs="Calibri"/>
                <w:color w:val="000000"/>
                <w:szCs w:val="22"/>
                <w:lang w:eastAsia="hr-HR"/>
              </w:rPr>
              <w:t>0,00</w:t>
            </w:r>
          </w:p>
        </w:tc>
        <w:tc>
          <w:tcPr>
            <w:tcW w:w="1506" w:type="dxa"/>
            <w:tcBorders>
              <w:top w:val="nil"/>
              <w:left w:val="nil"/>
              <w:bottom w:val="single" w:sz="4" w:space="0" w:color="auto"/>
              <w:right w:val="single" w:sz="4" w:space="0" w:color="auto"/>
            </w:tcBorders>
            <w:shd w:val="clear" w:color="auto" w:fill="auto"/>
            <w:noWrap/>
            <w:vAlign w:val="bottom"/>
            <w:hideMark/>
          </w:tcPr>
          <w:p w:rsidR="004438C3" w:rsidRPr="004438C3" w:rsidRDefault="004438C3" w:rsidP="004438C3">
            <w:pPr>
              <w:jc w:val="right"/>
              <w:rPr>
                <w:rFonts w:ascii="Calibri" w:hAnsi="Calibri" w:cs="Calibri"/>
                <w:color w:val="000000"/>
                <w:szCs w:val="22"/>
                <w:lang w:eastAsia="hr-HR"/>
              </w:rPr>
            </w:pPr>
            <w:r w:rsidRPr="004438C3">
              <w:rPr>
                <w:rFonts w:ascii="Calibri" w:hAnsi="Calibri" w:cs="Calibri"/>
                <w:color w:val="000000"/>
                <w:szCs w:val="22"/>
                <w:lang w:eastAsia="hr-HR"/>
              </w:rPr>
              <w:t>15.325.000,00</w:t>
            </w:r>
          </w:p>
        </w:tc>
        <w:tc>
          <w:tcPr>
            <w:tcW w:w="1460" w:type="dxa"/>
            <w:tcBorders>
              <w:top w:val="nil"/>
              <w:left w:val="nil"/>
              <w:bottom w:val="single" w:sz="4" w:space="0" w:color="auto"/>
              <w:right w:val="single" w:sz="4" w:space="0" w:color="auto"/>
            </w:tcBorders>
            <w:shd w:val="clear" w:color="auto" w:fill="auto"/>
            <w:noWrap/>
            <w:vAlign w:val="bottom"/>
            <w:hideMark/>
          </w:tcPr>
          <w:p w:rsidR="004438C3" w:rsidRPr="004438C3" w:rsidRDefault="004438C3" w:rsidP="004438C3">
            <w:pPr>
              <w:jc w:val="right"/>
              <w:rPr>
                <w:rFonts w:ascii="Calibri" w:hAnsi="Calibri" w:cs="Calibri"/>
                <w:color w:val="000000"/>
                <w:szCs w:val="22"/>
                <w:lang w:eastAsia="hr-HR"/>
              </w:rPr>
            </w:pPr>
            <w:r w:rsidRPr="004438C3">
              <w:rPr>
                <w:rFonts w:ascii="Calibri" w:hAnsi="Calibri" w:cs="Calibri"/>
                <w:color w:val="000000"/>
                <w:szCs w:val="22"/>
                <w:lang w:eastAsia="hr-HR"/>
              </w:rPr>
              <w:t>204.393,13</w:t>
            </w:r>
          </w:p>
        </w:tc>
        <w:tc>
          <w:tcPr>
            <w:tcW w:w="1617" w:type="dxa"/>
            <w:tcBorders>
              <w:top w:val="nil"/>
              <w:left w:val="nil"/>
              <w:bottom w:val="single" w:sz="4" w:space="0" w:color="auto"/>
              <w:right w:val="single" w:sz="4" w:space="0" w:color="auto"/>
            </w:tcBorders>
            <w:shd w:val="clear" w:color="auto" w:fill="auto"/>
            <w:noWrap/>
            <w:vAlign w:val="bottom"/>
            <w:hideMark/>
          </w:tcPr>
          <w:p w:rsidR="004438C3" w:rsidRPr="004438C3" w:rsidRDefault="004438C3" w:rsidP="004438C3">
            <w:pPr>
              <w:jc w:val="right"/>
              <w:rPr>
                <w:rFonts w:ascii="Calibri" w:hAnsi="Calibri" w:cs="Calibri"/>
                <w:color w:val="000000"/>
                <w:szCs w:val="22"/>
                <w:lang w:eastAsia="hr-HR"/>
              </w:rPr>
            </w:pPr>
            <w:r w:rsidRPr="004438C3">
              <w:rPr>
                <w:rFonts w:ascii="Calibri" w:hAnsi="Calibri" w:cs="Calibri"/>
                <w:color w:val="000000"/>
                <w:szCs w:val="22"/>
                <w:lang w:eastAsia="hr-HR"/>
              </w:rPr>
              <w:t>42.301.729,13</w:t>
            </w:r>
          </w:p>
        </w:tc>
      </w:tr>
      <w:tr w:rsidR="004438C3" w:rsidRPr="004438C3" w:rsidTr="003326B8">
        <w:trPr>
          <w:trHeight w:val="900"/>
        </w:trPr>
        <w:tc>
          <w:tcPr>
            <w:tcW w:w="1417" w:type="dxa"/>
            <w:tcBorders>
              <w:top w:val="single" w:sz="4" w:space="0" w:color="auto"/>
              <w:left w:val="single" w:sz="4" w:space="0" w:color="auto"/>
              <w:bottom w:val="single" w:sz="4" w:space="0" w:color="auto"/>
              <w:right w:val="single" w:sz="4" w:space="0" w:color="000000"/>
            </w:tcBorders>
            <w:shd w:val="clear" w:color="000000" w:fill="D0CECE"/>
            <w:vAlign w:val="center"/>
            <w:hideMark/>
          </w:tcPr>
          <w:p w:rsidR="004438C3" w:rsidRPr="004438C3" w:rsidRDefault="004438C3" w:rsidP="004438C3">
            <w:pPr>
              <w:jc w:val="center"/>
              <w:rPr>
                <w:rFonts w:ascii="Calibri" w:hAnsi="Calibri" w:cs="Calibri"/>
                <w:b/>
                <w:bCs/>
                <w:color w:val="000000"/>
                <w:szCs w:val="22"/>
                <w:lang w:eastAsia="hr-HR"/>
              </w:rPr>
            </w:pPr>
            <w:r w:rsidRPr="004438C3">
              <w:rPr>
                <w:rFonts w:ascii="Calibri" w:hAnsi="Calibri" w:cs="Calibri"/>
                <w:b/>
                <w:bCs/>
                <w:color w:val="000000"/>
                <w:szCs w:val="22"/>
                <w:lang w:eastAsia="hr-HR"/>
              </w:rPr>
              <w:t>UKUPNO  KONTO 9964</w:t>
            </w:r>
          </w:p>
        </w:tc>
        <w:tc>
          <w:tcPr>
            <w:tcW w:w="1740" w:type="dxa"/>
            <w:tcBorders>
              <w:top w:val="nil"/>
              <w:left w:val="nil"/>
              <w:bottom w:val="single" w:sz="4" w:space="0" w:color="auto"/>
              <w:right w:val="single" w:sz="4" w:space="0" w:color="auto"/>
            </w:tcBorders>
            <w:shd w:val="clear" w:color="000000" w:fill="D0CECE"/>
            <w:noWrap/>
            <w:vAlign w:val="bottom"/>
            <w:hideMark/>
          </w:tcPr>
          <w:p w:rsidR="004438C3" w:rsidRPr="004438C3" w:rsidRDefault="004438C3" w:rsidP="004438C3">
            <w:pPr>
              <w:jc w:val="right"/>
              <w:rPr>
                <w:rFonts w:ascii="Calibri" w:hAnsi="Calibri" w:cs="Calibri"/>
                <w:b/>
                <w:bCs/>
                <w:color w:val="000000"/>
                <w:szCs w:val="22"/>
                <w:lang w:eastAsia="hr-HR"/>
              </w:rPr>
            </w:pPr>
            <w:r w:rsidRPr="004438C3">
              <w:rPr>
                <w:rFonts w:ascii="Calibri" w:hAnsi="Calibri" w:cs="Calibri"/>
                <w:b/>
                <w:bCs/>
                <w:color w:val="000000"/>
                <w:szCs w:val="22"/>
                <w:lang w:eastAsia="hr-HR"/>
              </w:rPr>
              <w:t>81.892.077,21</w:t>
            </w:r>
          </w:p>
        </w:tc>
        <w:tc>
          <w:tcPr>
            <w:tcW w:w="1360" w:type="dxa"/>
            <w:tcBorders>
              <w:top w:val="nil"/>
              <w:left w:val="nil"/>
              <w:bottom w:val="single" w:sz="4" w:space="0" w:color="auto"/>
              <w:right w:val="single" w:sz="4" w:space="0" w:color="auto"/>
            </w:tcBorders>
            <w:shd w:val="clear" w:color="000000" w:fill="D0CECE"/>
            <w:noWrap/>
            <w:vAlign w:val="bottom"/>
            <w:hideMark/>
          </w:tcPr>
          <w:p w:rsidR="004438C3" w:rsidRPr="004438C3" w:rsidRDefault="004438C3" w:rsidP="004438C3">
            <w:pPr>
              <w:jc w:val="right"/>
              <w:rPr>
                <w:rFonts w:ascii="Calibri" w:hAnsi="Calibri" w:cs="Calibri"/>
                <w:b/>
                <w:bCs/>
                <w:color w:val="000000"/>
                <w:szCs w:val="22"/>
                <w:lang w:eastAsia="hr-HR"/>
              </w:rPr>
            </w:pPr>
            <w:r w:rsidRPr="004438C3">
              <w:rPr>
                <w:rFonts w:ascii="Calibri" w:hAnsi="Calibri" w:cs="Calibri"/>
                <w:b/>
                <w:bCs/>
                <w:color w:val="000000"/>
                <w:szCs w:val="22"/>
                <w:lang w:eastAsia="hr-HR"/>
              </w:rPr>
              <w:t>-0,25</w:t>
            </w:r>
          </w:p>
        </w:tc>
        <w:tc>
          <w:tcPr>
            <w:tcW w:w="1506" w:type="dxa"/>
            <w:tcBorders>
              <w:top w:val="nil"/>
              <w:left w:val="nil"/>
              <w:bottom w:val="single" w:sz="4" w:space="0" w:color="auto"/>
              <w:right w:val="single" w:sz="4" w:space="0" w:color="auto"/>
            </w:tcBorders>
            <w:shd w:val="clear" w:color="000000" w:fill="D0CECE"/>
            <w:noWrap/>
            <w:vAlign w:val="bottom"/>
            <w:hideMark/>
          </w:tcPr>
          <w:p w:rsidR="004438C3" w:rsidRPr="004438C3" w:rsidRDefault="004438C3" w:rsidP="004438C3">
            <w:pPr>
              <w:jc w:val="right"/>
              <w:rPr>
                <w:rFonts w:ascii="Calibri" w:hAnsi="Calibri" w:cs="Calibri"/>
                <w:b/>
                <w:bCs/>
                <w:color w:val="000000"/>
                <w:szCs w:val="22"/>
                <w:lang w:eastAsia="hr-HR"/>
              </w:rPr>
            </w:pPr>
            <w:r w:rsidRPr="004438C3">
              <w:rPr>
                <w:rFonts w:ascii="Calibri" w:hAnsi="Calibri" w:cs="Calibri"/>
                <w:b/>
                <w:bCs/>
                <w:color w:val="000000"/>
                <w:szCs w:val="22"/>
                <w:lang w:eastAsia="hr-HR"/>
              </w:rPr>
              <w:t>59.146.946,32</w:t>
            </w:r>
          </w:p>
        </w:tc>
        <w:tc>
          <w:tcPr>
            <w:tcW w:w="1460" w:type="dxa"/>
            <w:tcBorders>
              <w:top w:val="nil"/>
              <w:left w:val="nil"/>
              <w:bottom w:val="single" w:sz="4" w:space="0" w:color="auto"/>
              <w:right w:val="single" w:sz="4" w:space="0" w:color="auto"/>
            </w:tcBorders>
            <w:shd w:val="clear" w:color="000000" w:fill="D0CECE"/>
            <w:noWrap/>
            <w:vAlign w:val="bottom"/>
            <w:hideMark/>
          </w:tcPr>
          <w:p w:rsidR="004438C3" w:rsidRPr="004438C3" w:rsidRDefault="004438C3" w:rsidP="004438C3">
            <w:pPr>
              <w:jc w:val="right"/>
              <w:rPr>
                <w:rFonts w:ascii="Calibri" w:hAnsi="Calibri" w:cs="Calibri"/>
                <w:b/>
                <w:bCs/>
                <w:color w:val="000000"/>
                <w:szCs w:val="22"/>
                <w:lang w:eastAsia="hr-HR"/>
              </w:rPr>
            </w:pPr>
            <w:r w:rsidRPr="004438C3">
              <w:rPr>
                <w:rFonts w:ascii="Calibri" w:hAnsi="Calibri" w:cs="Calibri"/>
                <w:b/>
                <w:bCs/>
                <w:color w:val="000000"/>
                <w:szCs w:val="22"/>
                <w:lang w:eastAsia="hr-HR"/>
              </w:rPr>
              <w:t>2.446.638,08</w:t>
            </w:r>
          </w:p>
        </w:tc>
        <w:tc>
          <w:tcPr>
            <w:tcW w:w="1617" w:type="dxa"/>
            <w:tcBorders>
              <w:top w:val="nil"/>
              <w:left w:val="nil"/>
              <w:bottom w:val="single" w:sz="4" w:space="0" w:color="auto"/>
              <w:right w:val="single" w:sz="4" w:space="0" w:color="auto"/>
            </w:tcBorders>
            <w:shd w:val="clear" w:color="000000" w:fill="D0CECE"/>
            <w:noWrap/>
            <w:vAlign w:val="bottom"/>
            <w:hideMark/>
          </w:tcPr>
          <w:p w:rsidR="004438C3" w:rsidRPr="004438C3" w:rsidRDefault="004438C3" w:rsidP="004438C3">
            <w:pPr>
              <w:jc w:val="right"/>
              <w:rPr>
                <w:rFonts w:ascii="Calibri" w:hAnsi="Calibri" w:cs="Calibri"/>
                <w:b/>
                <w:bCs/>
                <w:color w:val="000000"/>
                <w:szCs w:val="22"/>
                <w:lang w:eastAsia="hr-HR"/>
              </w:rPr>
            </w:pPr>
            <w:r w:rsidRPr="004438C3">
              <w:rPr>
                <w:rFonts w:ascii="Calibri" w:hAnsi="Calibri" w:cs="Calibri"/>
                <w:b/>
                <w:bCs/>
                <w:color w:val="000000"/>
                <w:szCs w:val="22"/>
                <w:lang w:eastAsia="hr-HR"/>
              </w:rPr>
              <w:t>138.592.385,20</w:t>
            </w:r>
          </w:p>
        </w:tc>
      </w:tr>
    </w:tbl>
    <w:p w:rsidR="00F5048D" w:rsidRDefault="00F5048D" w:rsidP="008045BC"/>
    <w:p w:rsidR="00F5048D" w:rsidRDefault="00F5048D" w:rsidP="008045BC"/>
    <w:p w:rsidR="008045BC" w:rsidRDefault="008045BC" w:rsidP="008045BC">
      <w:r>
        <w:t>U 202</w:t>
      </w:r>
      <w:r w:rsidR="004438C3">
        <w:t>3</w:t>
      </w:r>
      <w:r>
        <w:t xml:space="preserve">. godini je </w:t>
      </w:r>
      <w:r w:rsidRPr="003538F2">
        <w:t xml:space="preserve">knjiženo </w:t>
      </w:r>
      <w:r w:rsidR="004438C3" w:rsidRPr="004438C3">
        <w:t>43.821.946,32</w:t>
      </w:r>
      <w:r w:rsidR="004438C3">
        <w:t xml:space="preserve">eur </w:t>
      </w:r>
      <w:r w:rsidRPr="003538F2">
        <w:t>primljenih instrumenata plaćanja</w:t>
      </w:r>
      <w:r w:rsidR="004438C3">
        <w:t xml:space="preserve"> od čega se na Fond za razvoj poljoprivrede odnosi </w:t>
      </w:r>
      <w:r w:rsidR="004438C3" w:rsidRPr="004438C3">
        <w:t>38.802.651,32eur</w:t>
      </w:r>
      <w:r w:rsidR="004438C3">
        <w:t xml:space="preserve">, </w:t>
      </w:r>
      <w:r>
        <w:t xml:space="preserve">vraćeno je  </w:t>
      </w:r>
      <w:r w:rsidR="004438C3" w:rsidRPr="004438C3">
        <w:t>2.242.244,95</w:t>
      </w:r>
      <w:r w:rsidR="004438C3">
        <w:t xml:space="preserve">eur </w:t>
      </w:r>
      <w:r>
        <w:t xml:space="preserve">instrumenata osiguranja plaćanja iz proteklih godina što zajedno sa početnim stanjem u iznosu od </w:t>
      </w:r>
      <w:r w:rsidR="003326B8">
        <w:t>54.710.954,95eur</w:t>
      </w:r>
      <w:r>
        <w:t xml:space="preserve">, rezultira sa </w:t>
      </w:r>
      <w:r w:rsidR="003326B8">
        <w:t xml:space="preserve">96.290.656,07eur </w:t>
      </w:r>
      <w:r>
        <w:t>ukupno primljenih instrumenata osiguranja plaćanja na dan 31.12.202</w:t>
      </w:r>
      <w:r w:rsidR="003326B8">
        <w:t>3</w:t>
      </w:r>
      <w:r>
        <w:t>. godine.</w:t>
      </w:r>
    </w:p>
    <w:p w:rsidR="00F5048D" w:rsidRDefault="00F5048D" w:rsidP="008045BC"/>
    <w:p w:rsidR="003326B8" w:rsidRDefault="003326B8" w:rsidP="003326B8">
      <w:r>
        <w:t xml:space="preserve">Na dan 01.01.2023. godine Istarska županija je imala ukupno </w:t>
      </w:r>
      <w:r w:rsidRPr="003326B8">
        <w:t>27.181.122,26</w:t>
      </w:r>
      <w:r>
        <w:t xml:space="preserve">eur </w:t>
      </w:r>
      <w:r w:rsidRPr="003538F2">
        <w:t xml:space="preserve">izdanih instrumenata plaćanja </w:t>
      </w:r>
      <w:r>
        <w:t>od toga je tijekom 2023.</w:t>
      </w:r>
      <w:r w:rsidRPr="00054AF5">
        <w:t xml:space="preserve"> </w:t>
      </w:r>
      <w:r>
        <w:t xml:space="preserve">godine vraćeno </w:t>
      </w:r>
      <w:r w:rsidRPr="003326B8">
        <w:t>204.393,13</w:t>
      </w:r>
      <w:r>
        <w:t xml:space="preserve">eur, a tijekom godine je izdano </w:t>
      </w:r>
      <w:r w:rsidRPr="003326B8">
        <w:t>15.325.000,00</w:t>
      </w:r>
      <w:r>
        <w:t xml:space="preserve">eur instrumenata osiguranja plaćanja. Na dan 31.12.2023.godine Istarska županija ima ukupno </w:t>
      </w:r>
      <w:r w:rsidRPr="003326B8">
        <w:t>42.301.729,13</w:t>
      </w:r>
      <w:r>
        <w:t>eur izdanih instrumenata osiguranja plaćanja.</w:t>
      </w:r>
    </w:p>
    <w:p w:rsidR="003326B8" w:rsidRDefault="003326B8" w:rsidP="003326B8"/>
    <w:p w:rsidR="003326B8" w:rsidRDefault="003326B8" w:rsidP="003326B8">
      <w:r w:rsidRPr="00E94B43">
        <w:rPr>
          <w:rFonts w:ascii="Calibri" w:hAnsi="Calibri" w:cs="Calibri"/>
          <w:b/>
          <w:bCs/>
          <w:color w:val="000000"/>
          <w:szCs w:val="22"/>
          <w:lang w:eastAsia="hr-HR"/>
        </w:rPr>
        <w:t>Tablica: Stanje danih instrumenata osiguranja plaćanja Istarske županije na dan 31.12.2022. godine</w:t>
      </w:r>
    </w:p>
    <w:tbl>
      <w:tblPr>
        <w:tblW w:w="5185" w:type="pct"/>
        <w:tblLayout w:type="fixed"/>
        <w:tblLook w:val="04A0" w:firstRow="1" w:lastRow="0" w:firstColumn="1" w:lastColumn="0" w:noHBand="0" w:noVBand="1"/>
      </w:tblPr>
      <w:tblGrid>
        <w:gridCol w:w="2690"/>
        <w:gridCol w:w="1419"/>
        <w:gridCol w:w="1210"/>
        <w:gridCol w:w="1481"/>
        <w:gridCol w:w="1133"/>
        <w:gridCol w:w="1418"/>
      </w:tblGrid>
      <w:tr w:rsidR="003326B8" w:rsidRPr="003326B8" w:rsidTr="003326B8">
        <w:trPr>
          <w:trHeight w:val="1141"/>
        </w:trPr>
        <w:tc>
          <w:tcPr>
            <w:tcW w:w="1438"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3326B8" w:rsidRPr="003326B8" w:rsidRDefault="003326B8" w:rsidP="003326B8">
            <w:pPr>
              <w:jc w:val="center"/>
              <w:rPr>
                <w:rFonts w:cs="Arial"/>
                <w:b/>
                <w:bCs/>
                <w:sz w:val="18"/>
                <w:szCs w:val="18"/>
                <w:lang w:eastAsia="hr-HR"/>
              </w:rPr>
            </w:pPr>
            <w:r w:rsidRPr="003326B8">
              <w:rPr>
                <w:rFonts w:cs="Arial"/>
                <w:b/>
                <w:bCs/>
                <w:sz w:val="18"/>
                <w:szCs w:val="18"/>
                <w:lang w:eastAsia="hr-HR"/>
              </w:rPr>
              <w:t>Opis</w:t>
            </w:r>
          </w:p>
        </w:tc>
        <w:tc>
          <w:tcPr>
            <w:tcW w:w="758" w:type="pct"/>
            <w:tcBorders>
              <w:top w:val="single" w:sz="4" w:space="0" w:color="auto"/>
              <w:left w:val="nil"/>
              <w:bottom w:val="single" w:sz="4" w:space="0" w:color="auto"/>
              <w:right w:val="single" w:sz="4" w:space="0" w:color="auto"/>
            </w:tcBorders>
            <w:shd w:val="clear" w:color="000000" w:fill="D0CECE"/>
            <w:vAlign w:val="bottom"/>
            <w:hideMark/>
          </w:tcPr>
          <w:p w:rsidR="003326B8" w:rsidRPr="003326B8" w:rsidRDefault="003326B8" w:rsidP="003326B8">
            <w:pPr>
              <w:jc w:val="left"/>
              <w:rPr>
                <w:rFonts w:cs="Arial"/>
                <w:b/>
                <w:bCs/>
                <w:sz w:val="18"/>
                <w:szCs w:val="18"/>
                <w:lang w:eastAsia="hr-HR"/>
              </w:rPr>
            </w:pPr>
            <w:r w:rsidRPr="003326B8">
              <w:rPr>
                <w:rFonts w:cs="Arial"/>
                <w:b/>
                <w:bCs/>
                <w:sz w:val="18"/>
                <w:szCs w:val="18"/>
                <w:lang w:eastAsia="hr-HR"/>
              </w:rPr>
              <w:t>Početno stanje 01.01.2023. godine</w:t>
            </w:r>
          </w:p>
        </w:tc>
        <w:tc>
          <w:tcPr>
            <w:tcW w:w="647" w:type="pct"/>
            <w:tcBorders>
              <w:top w:val="single" w:sz="4" w:space="0" w:color="auto"/>
              <w:left w:val="nil"/>
              <w:bottom w:val="single" w:sz="4" w:space="0" w:color="auto"/>
              <w:right w:val="single" w:sz="4" w:space="0" w:color="auto"/>
            </w:tcBorders>
            <w:shd w:val="clear" w:color="000000" w:fill="D0CECE"/>
            <w:vAlign w:val="bottom"/>
            <w:hideMark/>
          </w:tcPr>
          <w:p w:rsidR="003326B8" w:rsidRPr="003326B8" w:rsidRDefault="003326B8" w:rsidP="003326B8">
            <w:pPr>
              <w:jc w:val="left"/>
              <w:rPr>
                <w:rFonts w:cs="Arial"/>
                <w:b/>
                <w:bCs/>
                <w:sz w:val="18"/>
                <w:szCs w:val="18"/>
                <w:lang w:eastAsia="hr-HR"/>
              </w:rPr>
            </w:pPr>
            <w:r w:rsidRPr="003326B8">
              <w:rPr>
                <w:rFonts w:cs="Arial"/>
                <w:b/>
                <w:bCs/>
                <w:sz w:val="18"/>
                <w:szCs w:val="18"/>
                <w:lang w:eastAsia="hr-HR"/>
              </w:rPr>
              <w:t xml:space="preserve">Usklađenje po analitici </w:t>
            </w:r>
          </w:p>
        </w:tc>
        <w:tc>
          <w:tcPr>
            <w:tcW w:w="792" w:type="pct"/>
            <w:tcBorders>
              <w:top w:val="single" w:sz="4" w:space="0" w:color="auto"/>
              <w:left w:val="nil"/>
              <w:bottom w:val="single" w:sz="4" w:space="0" w:color="auto"/>
              <w:right w:val="single" w:sz="4" w:space="0" w:color="auto"/>
            </w:tcBorders>
            <w:shd w:val="clear" w:color="000000" w:fill="D0CECE"/>
            <w:vAlign w:val="bottom"/>
            <w:hideMark/>
          </w:tcPr>
          <w:p w:rsidR="003326B8" w:rsidRPr="003326B8" w:rsidRDefault="003326B8" w:rsidP="003326B8">
            <w:pPr>
              <w:jc w:val="left"/>
              <w:rPr>
                <w:rFonts w:cs="Arial"/>
                <w:b/>
                <w:bCs/>
                <w:sz w:val="18"/>
                <w:szCs w:val="18"/>
                <w:lang w:eastAsia="hr-HR"/>
              </w:rPr>
            </w:pPr>
            <w:r w:rsidRPr="003326B8">
              <w:rPr>
                <w:rFonts w:cs="Arial"/>
                <w:b/>
                <w:bCs/>
                <w:sz w:val="18"/>
                <w:szCs w:val="18"/>
                <w:lang w:eastAsia="hr-HR"/>
              </w:rPr>
              <w:t>Izdani instrumenti</w:t>
            </w:r>
          </w:p>
        </w:tc>
        <w:tc>
          <w:tcPr>
            <w:tcW w:w="606" w:type="pct"/>
            <w:tcBorders>
              <w:top w:val="single" w:sz="4" w:space="0" w:color="auto"/>
              <w:left w:val="nil"/>
              <w:bottom w:val="single" w:sz="4" w:space="0" w:color="auto"/>
              <w:right w:val="single" w:sz="4" w:space="0" w:color="auto"/>
            </w:tcBorders>
            <w:shd w:val="clear" w:color="000000" w:fill="D0CECE"/>
            <w:vAlign w:val="bottom"/>
            <w:hideMark/>
          </w:tcPr>
          <w:p w:rsidR="003326B8" w:rsidRPr="003326B8" w:rsidRDefault="003326B8" w:rsidP="003326B8">
            <w:pPr>
              <w:jc w:val="left"/>
              <w:rPr>
                <w:rFonts w:cs="Arial"/>
                <w:b/>
                <w:bCs/>
                <w:sz w:val="18"/>
                <w:szCs w:val="18"/>
                <w:lang w:eastAsia="hr-HR"/>
              </w:rPr>
            </w:pPr>
            <w:r w:rsidRPr="003326B8">
              <w:rPr>
                <w:rFonts w:cs="Arial"/>
                <w:b/>
                <w:bCs/>
                <w:sz w:val="18"/>
                <w:szCs w:val="18"/>
                <w:lang w:eastAsia="hr-HR"/>
              </w:rPr>
              <w:t>Vraćeni instrumenti u 2023.godini</w:t>
            </w:r>
          </w:p>
        </w:tc>
        <w:tc>
          <w:tcPr>
            <w:tcW w:w="758" w:type="pct"/>
            <w:tcBorders>
              <w:top w:val="single" w:sz="4" w:space="0" w:color="auto"/>
              <w:left w:val="nil"/>
              <w:bottom w:val="single" w:sz="4" w:space="0" w:color="auto"/>
              <w:right w:val="single" w:sz="4" w:space="0" w:color="auto"/>
            </w:tcBorders>
            <w:shd w:val="clear" w:color="000000" w:fill="D0CECE"/>
            <w:noWrap/>
            <w:vAlign w:val="bottom"/>
            <w:hideMark/>
          </w:tcPr>
          <w:p w:rsidR="003326B8" w:rsidRPr="003326B8" w:rsidRDefault="003326B8" w:rsidP="003326B8">
            <w:pPr>
              <w:jc w:val="left"/>
              <w:rPr>
                <w:rFonts w:cs="Arial"/>
                <w:b/>
                <w:bCs/>
                <w:sz w:val="18"/>
                <w:szCs w:val="18"/>
                <w:lang w:eastAsia="hr-HR"/>
              </w:rPr>
            </w:pPr>
            <w:r w:rsidRPr="003326B8">
              <w:rPr>
                <w:rFonts w:cs="Arial"/>
                <w:b/>
                <w:bCs/>
                <w:sz w:val="18"/>
                <w:szCs w:val="18"/>
                <w:lang w:eastAsia="hr-HR"/>
              </w:rPr>
              <w:t>Završno stanje</w:t>
            </w:r>
          </w:p>
        </w:tc>
      </w:tr>
      <w:tr w:rsidR="003326B8" w:rsidRPr="003326B8" w:rsidTr="003326B8">
        <w:trPr>
          <w:trHeight w:val="300"/>
        </w:trPr>
        <w:tc>
          <w:tcPr>
            <w:tcW w:w="1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IZDANIH IO U 2016.</w:t>
            </w:r>
          </w:p>
        </w:tc>
        <w:tc>
          <w:tcPr>
            <w:tcW w:w="758"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3.057.933,51</w:t>
            </w:r>
          </w:p>
        </w:tc>
        <w:tc>
          <w:tcPr>
            <w:tcW w:w="647"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79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06"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138.031,73</w:t>
            </w:r>
          </w:p>
        </w:tc>
        <w:tc>
          <w:tcPr>
            <w:tcW w:w="758"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2.919.901,78</w:t>
            </w:r>
          </w:p>
        </w:tc>
      </w:tr>
      <w:tr w:rsidR="003326B8" w:rsidRPr="003326B8" w:rsidTr="003326B8">
        <w:trPr>
          <w:trHeight w:val="300"/>
        </w:trPr>
        <w:tc>
          <w:tcPr>
            <w:tcW w:w="1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IZDANIH IO U 2017.</w:t>
            </w:r>
          </w:p>
        </w:tc>
        <w:tc>
          <w:tcPr>
            <w:tcW w:w="758"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72.997,54</w:t>
            </w:r>
          </w:p>
        </w:tc>
        <w:tc>
          <w:tcPr>
            <w:tcW w:w="647"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79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06"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758"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72.997,54</w:t>
            </w:r>
          </w:p>
        </w:tc>
      </w:tr>
      <w:tr w:rsidR="003326B8" w:rsidRPr="003326B8" w:rsidTr="003326B8">
        <w:trPr>
          <w:trHeight w:val="300"/>
        </w:trPr>
        <w:tc>
          <w:tcPr>
            <w:tcW w:w="1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IZDANIH IO U 2018.</w:t>
            </w:r>
          </w:p>
        </w:tc>
        <w:tc>
          <w:tcPr>
            <w:tcW w:w="758"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8.628.309,78</w:t>
            </w:r>
          </w:p>
        </w:tc>
        <w:tc>
          <w:tcPr>
            <w:tcW w:w="647"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79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06"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758"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8.628.309,78</w:t>
            </w:r>
          </w:p>
        </w:tc>
      </w:tr>
      <w:tr w:rsidR="003326B8" w:rsidRPr="003326B8" w:rsidTr="003326B8">
        <w:trPr>
          <w:trHeight w:val="270"/>
        </w:trPr>
        <w:tc>
          <w:tcPr>
            <w:tcW w:w="1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IZDANIH IO U 2019.</w:t>
            </w:r>
          </w:p>
        </w:tc>
        <w:tc>
          <w:tcPr>
            <w:tcW w:w="758"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9.954.210,63</w:t>
            </w:r>
          </w:p>
        </w:tc>
        <w:tc>
          <w:tcPr>
            <w:tcW w:w="647"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79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06"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758"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9.954.210,63</w:t>
            </w:r>
          </w:p>
        </w:tc>
      </w:tr>
      <w:tr w:rsidR="003326B8" w:rsidRPr="003326B8" w:rsidTr="003326B8">
        <w:trPr>
          <w:trHeight w:val="300"/>
        </w:trPr>
        <w:tc>
          <w:tcPr>
            <w:tcW w:w="1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IZDANIH IO U 2020.</w:t>
            </w:r>
          </w:p>
        </w:tc>
        <w:tc>
          <w:tcPr>
            <w:tcW w:w="758"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4.991.704,82</w:t>
            </w:r>
          </w:p>
        </w:tc>
        <w:tc>
          <w:tcPr>
            <w:tcW w:w="647"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0,01</w:t>
            </w:r>
          </w:p>
        </w:tc>
        <w:tc>
          <w:tcPr>
            <w:tcW w:w="79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06"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758"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4.991.704,83</w:t>
            </w:r>
          </w:p>
        </w:tc>
      </w:tr>
      <w:tr w:rsidR="003326B8" w:rsidRPr="003326B8" w:rsidTr="003326B8">
        <w:trPr>
          <w:trHeight w:val="300"/>
        </w:trPr>
        <w:tc>
          <w:tcPr>
            <w:tcW w:w="1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IZDANIH IO U 2021.</w:t>
            </w:r>
          </w:p>
        </w:tc>
        <w:tc>
          <w:tcPr>
            <w:tcW w:w="758"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144.158,96</w:t>
            </w:r>
          </w:p>
        </w:tc>
        <w:tc>
          <w:tcPr>
            <w:tcW w:w="647"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-0,01</w:t>
            </w:r>
          </w:p>
        </w:tc>
        <w:tc>
          <w:tcPr>
            <w:tcW w:w="79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06"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66.361,40</w:t>
            </w:r>
          </w:p>
        </w:tc>
        <w:tc>
          <w:tcPr>
            <w:tcW w:w="758"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77.797,55</w:t>
            </w:r>
          </w:p>
        </w:tc>
      </w:tr>
      <w:tr w:rsidR="003326B8" w:rsidRPr="003326B8" w:rsidTr="003326B8">
        <w:trPr>
          <w:trHeight w:val="300"/>
        </w:trPr>
        <w:tc>
          <w:tcPr>
            <w:tcW w:w="1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IZDANIH IO U 2022.</w:t>
            </w:r>
          </w:p>
        </w:tc>
        <w:tc>
          <w:tcPr>
            <w:tcW w:w="758"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331.807,02</w:t>
            </w:r>
          </w:p>
        </w:tc>
        <w:tc>
          <w:tcPr>
            <w:tcW w:w="647"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79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06"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758"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331.807,02</w:t>
            </w:r>
          </w:p>
        </w:tc>
      </w:tr>
      <w:tr w:rsidR="003326B8" w:rsidRPr="003326B8" w:rsidTr="003326B8">
        <w:trPr>
          <w:trHeight w:val="300"/>
        </w:trPr>
        <w:tc>
          <w:tcPr>
            <w:tcW w:w="1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IZDANIH IO U 2023.</w:t>
            </w:r>
          </w:p>
        </w:tc>
        <w:tc>
          <w:tcPr>
            <w:tcW w:w="758"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47"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79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15.325.000,00</w:t>
            </w:r>
          </w:p>
        </w:tc>
        <w:tc>
          <w:tcPr>
            <w:tcW w:w="606"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758"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15.325.000,00</w:t>
            </w:r>
          </w:p>
        </w:tc>
      </w:tr>
      <w:tr w:rsidR="003326B8" w:rsidRPr="003326B8" w:rsidTr="003326B8">
        <w:trPr>
          <w:trHeight w:val="300"/>
        </w:trPr>
        <w:tc>
          <w:tcPr>
            <w:tcW w:w="1438"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3326B8" w:rsidRPr="003326B8" w:rsidRDefault="003326B8" w:rsidP="003326B8">
            <w:pPr>
              <w:jc w:val="center"/>
              <w:rPr>
                <w:rFonts w:cs="Arial"/>
                <w:b/>
                <w:bCs/>
                <w:sz w:val="18"/>
                <w:szCs w:val="18"/>
                <w:lang w:eastAsia="hr-HR"/>
              </w:rPr>
            </w:pPr>
            <w:r w:rsidRPr="003326B8">
              <w:rPr>
                <w:rFonts w:cs="Arial"/>
                <w:b/>
                <w:bCs/>
                <w:sz w:val="18"/>
                <w:szCs w:val="18"/>
                <w:lang w:eastAsia="hr-HR"/>
              </w:rPr>
              <w:t>Ukupno IZDANI instrumenti plaćanja</w:t>
            </w:r>
          </w:p>
        </w:tc>
        <w:tc>
          <w:tcPr>
            <w:tcW w:w="758"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27.181.122,26</w:t>
            </w:r>
          </w:p>
        </w:tc>
        <w:tc>
          <w:tcPr>
            <w:tcW w:w="647"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0,00</w:t>
            </w:r>
          </w:p>
        </w:tc>
        <w:tc>
          <w:tcPr>
            <w:tcW w:w="792"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15.325.000,00</w:t>
            </w:r>
          </w:p>
        </w:tc>
        <w:tc>
          <w:tcPr>
            <w:tcW w:w="606"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204.393,13</w:t>
            </w:r>
          </w:p>
        </w:tc>
        <w:tc>
          <w:tcPr>
            <w:tcW w:w="758"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42.301.729,13</w:t>
            </w:r>
          </w:p>
        </w:tc>
      </w:tr>
    </w:tbl>
    <w:p w:rsidR="003326B8" w:rsidRDefault="003326B8" w:rsidP="003326B8"/>
    <w:p w:rsidR="00A650AF" w:rsidRDefault="00A650AF" w:rsidP="00E94B43">
      <w:pPr>
        <w:rPr>
          <w:rFonts w:ascii="Calibri" w:hAnsi="Calibri" w:cs="Calibri"/>
          <w:b/>
          <w:bCs/>
          <w:color w:val="000000"/>
          <w:szCs w:val="22"/>
          <w:lang w:eastAsia="hr-HR"/>
        </w:rPr>
      </w:pPr>
    </w:p>
    <w:p w:rsidR="00E94B43" w:rsidRDefault="00E94B43" w:rsidP="00E94B43">
      <w:r w:rsidRPr="00E40404">
        <w:rPr>
          <w:rFonts w:ascii="Calibri" w:hAnsi="Calibri" w:cs="Calibri"/>
          <w:b/>
          <w:bCs/>
          <w:color w:val="000000"/>
          <w:szCs w:val="22"/>
          <w:lang w:eastAsia="hr-HR"/>
        </w:rPr>
        <w:lastRenderedPageBreak/>
        <w:t>Tablica: S</w:t>
      </w:r>
      <w:r>
        <w:rPr>
          <w:rFonts w:ascii="Calibri" w:hAnsi="Calibri" w:cs="Calibri"/>
          <w:b/>
          <w:bCs/>
          <w:color w:val="000000"/>
          <w:szCs w:val="22"/>
          <w:lang w:eastAsia="hr-HR"/>
        </w:rPr>
        <w:t xml:space="preserve">tanje primljenih instrumenata osiguranja plaćanja </w:t>
      </w:r>
      <w:r w:rsidRPr="00E40404">
        <w:rPr>
          <w:rFonts w:ascii="Calibri" w:hAnsi="Calibri" w:cs="Calibri"/>
          <w:b/>
          <w:bCs/>
          <w:color w:val="000000"/>
          <w:szCs w:val="22"/>
          <w:lang w:eastAsia="hr-HR"/>
        </w:rPr>
        <w:t>Istarske županije</w:t>
      </w:r>
      <w:r>
        <w:rPr>
          <w:rFonts w:ascii="Calibri" w:hAnsi="Calibri" w:cs="Calibri"/>
          <w:b/>
          <w:bCs/>
          <w:color w:val="000000"/>
          <w:szCs w:val="22"/>
          <w:lang w:eastAsia="hr-HR"/>
        </w:rPr>
        <w:t xml:space="preserve"> </w:t>
      </w:r>
      <w:r w:rsidRPr="00E40404">
        <w:rPr>
          <w:rFonts w:ascii="Calibri" w:hAnsi="Calibri" w:cs="Calibri"/>
          <w:b/>
          <w:bCs/>
          <w:color w:val="000000"/>
          <w:szCs w:val="22"/>
          <w:lang w:eastAsia="hr-HR"/>
        </w:rPr>
        <w:t>na dan 31.12.202</w:t>
      </w:r>
      <w:r w:rsidR="003326B8">
        <w:rPr>
          <w:rFonts w:ascii="Calibri" w:hAnsi="Calibri" w:cs="Calibri"/>
          <w:b/>
          <w:bCs/>
          <w:color w:val="000000"/>
          <w:szCs w:val="22"/>
          <w:lang w:eastAsia="hr-HR"/>
        </w:rPr>
        <w:t>3</w:t>
      </w:r>
      <w:r w:rsidRPr="00E40404">
        <w:rPr>
          <w:rFonts w:ascii="Calibri" w:hAnsi="Calibri" w:cs="Calibri"/>
          <w:b/>
          <w:bCs/>
          <w:color w:val="000000"/>
          <w:szCs w:val="22"/>
          <w:lang w:eastAsia="hr-HR"/>
        </w:rPr>
        <w:t>. godine</w:t>
      </w:r>
    </w:p>
    <w:tbl>
      <w:tblPr>
        <w:tblW w:w="5246" w:type="pct"/>
        <w:tblLayout w:type="fixed"/>
        <w:tblLook w:val="04A0" w:firstRow="1" w:lastRow="0" w:firstColumn="1" w:lastColumn="0" w:noHBand="0" w:noVBand="1"/>
      </w:tblPr>
      <w:tblGrid>
        <w:gridCol w:w="2397"/>
        <w:gridCol w:w="1553"/>
        <w:gridCol w:w="1272"/>
        <w:gridCol w:w="1559"/>
        <w:gridCol w:w="1272"/>
        <w:gridCol w:w="1408"/>
      </w:tblGrid>
      <w:tr w:rsidR="003326B8" w:rsidRPr="003326B8" w:rsidTr="00D15B3E">
        <w:trPr>
          <w:trHeight w:val="721"/>
        </w:trPr>
        <w:tc>
          <w:tcPr>
            <w:tcW w:w="1267" w:type="pct"/>
            <w:tcBorders>
              <w:top w:val="single" w:sz="4" w:space="0" w:color="auto"/>
              <w:left w:val="single" w:sz="4" w:space="0" w:color="auto"/>
              <w:bottom w:val="single" w:sz="4" w:space="0" w:color="auto"/>
              <w:right w:val="single" w:sz="4" w:space="0" w:color="000000"/>
            </w:tcBorders>
            <w:shd w:val="clear" w:color="000000" w:fill="D0CECE"/>
            <w:vAlign w:val="bottom"/>
            <w:hideMark/>
          </w:tcPr>
          <w:p w:rsidR="003326B8" w:rsidRPr="003326B8" w:rsidRDefault="003326B8" w:rsidP="003326B8">
            <w:pPr>
              <w:jc w:val="center"/>
              <w:rPr>
                <w:rFonts w:cs="Arial"/>
                <w:b/>
                <w:bCs/>
                <w:sz w:val="18"/>
                <w:szCs w:val="18"/>
                <w:lang w:eastAsia="hr-HR"/>
              </w:rPr>
            </w:pPr>
            <w:r w:rsidRPr="003326B8">
              <w:rPr>
                <w:rFonts w:cs="Arial"/>
                <w:b/>
                <w:bCs/>
                <w:sz w:val="18"/>
                <w:szCs w:val="18"/>
                <w:lang w:eastAsia="hr-HR"/>
              </w:rPr>
              <w:t>Opis</w:t>
            </w:r>
          </w:p>
        </w:tc>
        <w:tc>
          <w:tcPr>
            <w:tcW w:w="821" w:type="pct"/>
            <w:tcBorders>
              <w:top w:val="single" w:sz="4" w:space="0" w:color="auto"/>
              <w:left w:val="nil"/>
              <w:bottom w:val="single" w:sz="4" w:space="0" w:color="auto"/>
              <w:right w:val="single" w:sz="4" w:space="0" w:color="auto"/>
            </w:tcBorders>
            <w:shd w:val="clear" w:color="000000" w:fill="D0CECE"/>
            <w:vAlign w:val="bottom"/>
            <w:hideMark/>
          </w:tcPr>
          <w:p w:rsidR="003326B8" w:rsidRPr="003326B8" w:rsidRDefault="003326B8" w:rsidP="003326B8">
            <w:pPr>
              <w:jc w:val="left"/>
              <w:rPr>
                <w:rFonts w:cs="Arial"/>
                <w:b/>
                <w:bCs/>
                <w:sz w:val="18"/>
                <w:szCs w:val="18"/>
                <w:lang w:eastAsia="hr-HR"/>
              </w:rPr>
            </w:pPr>
            <w:r w:rsidRPr="003326B8">
              <w:rPr>
                <w:rFonts w:cs="Arial"/>
                <w:b/>
                <w:bCs/>
                <w:sz w:val="18"/>
                <w:szCs w:val="18"/>
                <w:lang w:eastAsia="hr-HR"/>
              </w:rPr>
              <w:t>Početno stanje 01.01.2023. godine</w:t>
            </w:r>
          </w:p>
        </w:tc>
        <w:tc>
          <w:tcPr>
            <w:tcW w:w="672" w:type="pct"/>
            <w:tcBorders>
              <w:top w:val="single" w:sz="4" w:space="0" w:color="auto"/>
              <w:left w:val="nil"/>
              <w:bottom w:val="single" w:sz="4" w:space="0" w:color="auto"/>
              <w:right w:val="single" w:sz="4" w:space="0" w:color="auto"/>
            </w:tcBorders>
            <w:shd w:val="clear" w:color="000000" w:fill="D0CECE"/>
            <w:vAlign w:val="bottom"/>
            <w:hideMark/>
          </w:tcPr>
          <w:p w:rsidR="003326B8" w:rsidRPr="003326B8" w:rsidRDefault="003326B8" w:rsidP="003326B8">
            <w:pPr>
              <w:jc w:val="left"/>
              <w:rPr>
                <w:rFonts w:cs="Arial"/>
                <w:b/>
                <w:bCs/>
                <w:sz w:val="18"/>
                <w:szCs w:val="18"/>
                <w:lang w:eastAsia="hr-HR"/>
              </w:rPr>
            </w:pPr>
            <w:r w:rsidRPr="003326B8">
              <w:rPr>
                <w:rFonts w:cs="Arial"/>
                <w:b/>
                <w:bCs/>
                <w:sz w:val="18"/>
                <w:szCs w:val="18"/>
                <w:lang w:eastAsia="hr-HR"/>
              </w:rPr>
              <w:t xml:space="preserve">Usklađenje po analitici </w:t>
            </w:r>
          </w:p>
        </w:tc>
        <w:tc>
          <w:tcPr>
            <w:tcW w:w="824" w:type="pct"/>
            <w:tcBorders>
              <w:top w:val="single" w:sz="4" w:space="0" w:color="auto"/>
              <w:left w:val="nil"/>
              <w:bottom w:val="single" w:sz="4" w:space="0" w:color="auto"/>
              <w:right w:val="single" w:sz="4" w:space="0" w:color="auto"/>
            </w:tcBorders>
            <w:shd w:val="clear" w:color="000000" w:fill="D0CECE"/>
            <w:vAlign w:val="bottom"/>
            <w:hideMark/>
          </w:tcPr>
          <w:p w:rsidR="003326B8" w:rsidRPr="003326B8" w:rsidRDefault="003326B8" w:rsidP="003326B8">
            <w:pPr>
              <w:jc w:val="left"/>
              <w:rPr>
                <w:rFonts w:cs="Arial"/>
                <w:b/>
                <w:bCs/>
                <w:sz w:val="18"/>
                <w:szCs w:val="18"/>
                <w:lang w:eastAsia="hr-HR"/>
              </w:rPr>
            </w:pPr>
            <w:r w:rsidRPr="003326B8">
              <w:rPr>
                <w:rFonts w:cs="Arial"/>
                <w:b/>
                <w:bCs/>
                <w:sz w:val="18"/>
                <w:szCs w:val="18"/>
                <w:lang w:eastAsia="hr-HR"/>
              </w:rPr>
              <w:t>Primljeni instrumenti</w:t>
            </w:r>
          </w:p>
        </w:tc>
        <w:tc>
          <w:tcPr>
            <w:tcW w:w="672" w:type="pct"/>
            <w:tcBorders>
              <w:top w:val="single" w:sz="4" w:space="0" w:color="auto"/>
              <w:left w:val="nil"/>
              <w:bottom w:val="single" w:sz="4" w:space="0" w:color="auto"/>
              <w:right w:val="single" w:sz="4" w:space="0" w:color="auto"/>
            </w:tcBorders>
            <w:shd w:val="clear" w:color="000000" w:fill="D0CECE"/>
            <w:vAlign w:val="bottom"/>
            <w:hideMark/>
          </w:tcPr>
          <w:p w:rsidR="003326B8" w:rsidRPr="003326B8" w:rsidRDefault="003326B8" w:rsidP="003326B8">
            <w:pPr>
              <w:jc w:val="left"/>
              <w:rPr>
                <w:rFonts w:cs="Arial"/>
                <w:b/>
                <w:bCs/>
                <w:sz w:val="18"/>
                <w:szCs w:val="18"/>
                <w:lang w:eastAsia="hr-HR"/>
              </w:rPr>
            </w:pPr>
            <w:r w:rsidRPr="003326B8">
              <w:rPr>
                <w:rFonts w:cs="Arial"/>
                <w:b/>
                <w:bCs/>
                <w:sz w:val="18"/>
                <w:szCs w:val="18"/>
                <w:lang w:eastAsia="hr-HR"/>
              </w:rPr>
              <w:t>Vraćeni instrumenti u 2023.godini</w:t>
            </w:r>
          </w:p>
        </w:tc>
        <w:tc>
          <w:tcPr>
            <w:tcW w:w="744" w:type="pct"/>
            <w:tcBorders>
              <w:top w:val="single" w:sz="4" w:space="0" w:color="auto"/>
              <w:left w:val="nil"/>
              <w:bottom w:val="single" w:sz="4" w:space="0" w:color="auto"/>
              <w:right w:val="single" w:sz="4" w:space="0" w:color="auto"/>
            </w:tcBorders>
            <w:shd w:val="clear" w:color="000000" w:fill="D0CECE"/>
            <w:noWrap/>
            <w:vAlign w:val="bottom"/>
            <w:hideMark/>
          </w:tcPr>
          <w:p w:rsidR="003326B8" w:rsidRPr="003326B8" w:rsidRDefault="003326B8" w:rsidP="003326B8">
            <w:pPr>
              <w:jc w:val="left"/>
              <w:rPr>
                <w:rFonts w:cs="Arial"/>
                <w:b/>
                <w:bCs/>
                <w:sz w:val="18"/>
                <w:szCs w:val="18"/>
                <w:lang w:eastAsia="hr-HR"/>
              </w:rPr>
            </w:pPr>
            <w:r w:rsidRPr="003326B8">
              <w:rPr>
                <w:rFonts w:cs="Arial"/>
                <w:b/>
                <w:bCs/>
                <w:sz w:val="18"/>
                <w:szCs w:val="18"/>
                <w:lang w:eastAsia="hr-HR"/>
              </w:rPr>
              <w:t>Završno stanje</w:t>
            </w:r>
          </w:p>
        </w:tc>
      </w:tr>
      <w:tr w:rsidR="003326B8" w:rsidRPr="003326B8" w:rsidTr="00D15B3E">
        <w:trPr>
          <w:trHeight w:val="291"/>
        </w:trPr>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PRIMLJENIH IO U 2016.</w:t>
            </w:r>
          </w:p>
        </w:tc>
        <w:tc>
          <w:tcPr>
            <w:tcW w:w="821"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350.594,01</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-0,02</w:t>
            </w:r>
          </w:p>
        </w:tc>
        <w:tc>
          <w:tcPr>
            <w:tcW w:w="82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74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350.593,99</w:t>
            </w:r>
          </w:p>
        </w:tc>
      </w:tr>
      <w:tr w:rsidR="003326B8" w:rsidRPr="003326B8" w:rsidTr="00D15B3E">
        <w:trPr>
          <w:trHeight w:val="291"/>
        </w:trPr>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PRIMLJENIH IO U 2017.</w:t>
            </w:r>
          </w:p>
        </w:tc>
        <w:tc>
          <w:tcPr>
            <w:tcW w:w="821"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5.542.028,36</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-0,02</w:t>
            </w:r>
          </w:p>
        </w:tc>
        <w:tc>
          <w:tcPr>
            <w:tcW w:w="82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169.316,90</w:t>
            </w:r>
          </w:p>
        </w:tc>
        <w:tc>
          <w:tcPr>
            <w:tcW w:w="74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5.372.711,44</w:t>
            </w:r>
          </w:p>
        </w:tc>
      </w:tr>
      <w:tr w:rsidR="003326B8" w:rsidRPr="003326B8" w:rsidTr="00D15B3E">
        <w:trPr>
          <w:trHeight w:val="291"/>
        </w:trPr>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PRIMLJENIH IO U 2018.</w:t>
            </w:r>
          </w:p>
        </w:tc>
        <w:tc>
          <w:tcPr>
            <w:tcW w:w="821"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2.245.956,21</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-0,02</w:t>
            </w:r>
          </w:p>
        </w:tc>
        <w:tc>
          <w:tcPr>
            <w:tcW w:w="82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394.186,74</w:t>
            </w:r>
          </w:p>
        </w:tc>
        <w:tc>
          <w:tcPr>
            <w:tcW w:w="74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1.851.769,45</w:t>
            </w:r>
          </w:p>
        </w:tc>
      </w:tr>
      <w:tr w:rsidR="003326B8" w:rsidRPr="003326B8" w:rsidTr="00D15B3E">
        <w:trPr>
          <w:trHeight w:val="291"/>
        </w:trPr>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PRIMLJENIH IO U 2019.</w:t>
            </w:r>
          </w:p>
        </w:tc>
        <w:tc>
          <w:tcPr>
            <w:tcW w:w="821"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2.873.817,82</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-0,05</w:t>
            </w:r>
          </w:p>
        </w:tc>
        <w:tc>
          <w:tcPr>
            <w:tcW w:w="82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26.544,56</w:t>
            </w:r>
          </w:p>
        </w:tc>
        <w:tc>
          <w:tcPr>
            <w:tcW w:w="74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2.847.273,21</w:t>
            </w:r>
          </w:p>
        </w:tc>
      </w:tr>
      <w:tr w:rsidR="003326B8" w:rsidRPr="003326B8" w:rsidTr="00D15B3E">
        <w:trPr>
          <w:trHeight w:val="291"/>
        </w:trPr>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PRIMLJENIH IO U 2020.</w:t>
            </w:r>
          </w:p>
        </w:tc>
        <w:tc>
          <w:tcPr>
            <w:tcW w:w="821"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1.906.197,80</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-0,01</w:t>
            </w:r>
          </w:p>
        </w:tc>
        <w:tc>
          <w:tcPr>
            <w:tcW w:w="82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34.211,32</w:t>
            </w:r>
          </w:p>
        </w:tc>
        <w:tc>
          <w:tcPr>
            <w:tcW w:w="74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1.871.986,47</w:t>
            </w:r>
          </w:p>
        </w:tc>
      </w:tr>
      <w:tr w:rsidR="003326B8" w:rsidRPr="003326B8" w:rsidTr="00D15B3E">
        <w:trPr>
          <w:trHeight w:val="291"/>
        </w:trPr>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PRIMLJENIH IO U 2021.</w:t>
            </w:r>
          </w:p>
        </w:tc>
        <w:tc>
          <w:tcPr>
            <w:tcW w:w="821"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2.704.503,90</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-0,01</w:t>
            </w:r>
          </w:p>
        </w:tc>
        <w:tc>
          <w:tcPr>
            <w:tcW w:w="82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828.318,45</w:t>
            </w:r>
          </w:p>
        </w:tc>
        <w:tc>
          <w:tcPr>
            <w:tcW w:w="74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1.876.185,44</w:t>
            </w:r>
          </w:p>
        </w:tc>
      </w:tr>
      <w:tr w:rsidR="003326B8" w:rsidRPr="003326B8" w:rsidTr="00D15B3E">
        <w:trPr>
          <w:trHeight w:val="291"/>
        </w:trPr>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PRIMLJENIH IO U 2022.</w:t>
            </w:r>
          </w:p>
        </w:tc>
        <w:tc>
          <w:tcPr>
            <w:tcW w:w="821"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2.511.817,04</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-0,02</w:t>
            </w:r>
          </w:p>
        </w:tc>
        <w:tc>
          <w:tcPr>
            <w:tcW w:w="82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179.141,96</w:t>
            </w:r>
          </w:p>
        </w:tc>
        <w:tc>
          <w:tcPr>
            <w:tcW w:w="74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2.332.675,06</w:t>
            </w:r>
          </w:p>
        </w:tc>
      </w:tr>
      <w:tr w:rsidR="003326B8" w:rsidRPr="003326B8" w:rsidTr="00D15B3E">
        <w:trPr>
          <w:trHeight w:val="291"/>
        </w:trPr>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PRIMLJENIH IO U 2023.</w:t>
            </w:r>
          </w:p>
        </w:tc>
        <w:tc>
          <w:tcPr>
            <w:tcW w:w="821"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82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5.019.295,00</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74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5.019.295,00</w:t>
            </w:r>
          </w:p>
        </w:tc>
      </w:tr>
      <w:tr w:rsidR="003326B8" w:rsidRPr="003326B8" w:rsidTr="00D15B3E">
        <w:trPr>
          <w:trHeight w:val="291"/>
        </w:trPr>
        <w:tc>
          <w:tcPr>
            <w:tcW w:w="1267"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3326B8" w:rsidRPr="003326B8" w:rsidRDefault="003326B8" w:rsidP="003326B8">
            <w:pPr>
              <w:jc w:val="center"/>
              <w:rPr>
                <w:rFonts w:cs="Arial"/>
                <w:b/>
                <w:bCs/>
                <w:sz w:val="18"/>
                <w:szCs w:val="18"/>
                <w:lang w:eastAsia="hr-HR"/>
              </w:rPr>
            </w:pPr>
            <w:r w:rsidRPr="003326B8">
              <w:rPr>
                <w:rFonts w:cs="Arial"/>
                <w:b/>
                <w:bCs/>
                <w:sz w:val="18"/>
                <w:szCs w:val="18"/>
                <w:lang w:eastAsia="hr-HR"/>
              </w:rPr>
              <w:t>Ukupno -FINANCIJE</w:t>
            </w:r>
          </w:p>
        </w:tc>
        <w:tc>
          <w:tcPr>
            <w:tcW w:w="821"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18.134.915,14</w:t>
            </w:r>
          </w:p>
        </w:tc>
        <w:tc>
          <w:tcPr>
            <w:tcW w:w="672"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-0,15</w:t>
            </w:r>
          </w:p>
        </w:tc>
        <w:tc>
          <w:tcPr>
            <w:tcW w:w="824"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5.019.295,00</w:t>
            </w:r>
          </w:p>
        </w:tc>
        <w:tc>
          <w:tcPr>
            <w:tcW w:w="672"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1.631.719,93</w:t>
            </w:r>
          </w:p>
        </w:tc>
        <w:tc>
          <w:tcPr>
            <w:tcW w:w="744"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21.522.490,06</w:t>
            </w:r>
          </w:p>
        </w:tc>
      </w:tr>
      <w:tr w:rsidR="003326B8" w:rsidRPr="003326B8" w:rsidTr="00D15B3E">
        <w:trPr>
          <w:trHeight w:val="291"/>
        </w:trPr>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PRIMLJENIH IO - FOND 1998-2017</w:t>
            </w:r>
          </w:p>
        </w:tc>
        <w:tc>
          <w:tcPr>
            <w:tcW w:w="821"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82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34.124.919,85</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74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34.124.919,85</w:t>
            </w:r>
          </w:p>
        </w:tc>
      </w:tr>
      <w:tr w:rsidR="003326B8" w:rsidRPr="003326B8" w:rsidTr="00D15B3E">
        <w:trPr>
          <w:trHeight w:val="291"/>
        </w:trPr>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PRIMLJENIH IO  - FOND - 2018.</w:t>
            </w:r>
          </w:p>
        </w:tc>
        <w:tc>
          <w:tcPr>
            <w:tcW w:w="821"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12.368.793,28</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-0,08</w:t>
            </w:r>
          </w:p>
        </w:tc>
        <w:tc>
          <w:tcPr>
            <w:tcW w:w="82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74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12.368.793,20</w:t>
            </w:r>
          </w:p>
        </w:tc>
      </w:tr>
      <w:tr w:rsidR="003326B8" w:rsidRPr="003326B8" w:rsidTr="00D15B3E">
        <w:trPr>
          <w:trHeight w:val="291"/>
        </w:trPr>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PRIMLJENIH IO  - FOND - 2019.</w:t>
            </w:r>
          </w:p>
        </w:tc>
        <w:tc>
          <w:tcPr>
            <w:tcW w:w="821"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6.369.367,44</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82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72" w:type="pct"/>
            <w:tcBorders>
              <w:top w:val="nil"/>
              <w:left w:val="nil"/>
              <w:bottom w:val="nil"/>
              <w:right w:val="nil"/>
            </w:tcBorders>
            <w:shd w:val="clear" w:color="auto" w:fill="auto"/>
            <w:noWrap/>
            <w:vAlign w:val="bottom"/>
            <w:hideMark/>
          </w:tcPr>
          <w:p w:rsidR="003326B8" w:rsidRPr="00560B10" w:rsidRDefault="003326B8" w:rsidP="003326B8">
            <w:pPr>
              <w:jc w:val="right"/>
              <w:rPr>
                <w:rFonts w:cs="Arial"/>
                <w:b/>
                <w:bCs/>
                <w:color w:val="000000"/>
                <w:sz w:val="18"/>
                <w:szCs w:val="18"/>
                <w:lang w:eastAsia="hr-HR"/>
              </w:rPr>
            </w:pPr>
            <w:r w:rsidRPr="00560B10">
              <w:rPr>
                <w:rFonts w:cs="Arial"/>
                <w:b/>
                <w:bCs/>
                <w:color w:val="000000"/>
                <w:sz w:val="18"/>
                <w:szCs w:val="18"/>
                <w:lang w:eastAsia="hr-HR"/>
              </w:rPr>
              <w:t>199.084,24</w:t>
            </w:r>
          </w:p>
        </w:tc>
        <w:tc>
          <w:tcPr>
            <w:tcW w:w="744" w:type="pct"/>
            <w:tcBorders>
              <w:top w:val="nil"/>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6.170.283,20</w:t>
            </w:r>
          </w:p>
        </w:tc>
      </w:tr>
      <w:tr w:rsidR="003326B8" w:rsidRPr="003326B8" w:rsidTr="00560B10">
        <w:trPr>
          <w:trHeight w:val="291"/>
        </w:trPr>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PRIMLJENIH IO  - FOND - 2020.</w:t>
            </w:r>
          </w:p>
        </w:tc>
        <w:tc>
          <w:tcPr>
            <w:tcW w:w="821"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3.640.586,63</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-0,02</w:t>
            </w:r>
          </w:p>
        </w:tc>
        <w:tc>
          <w:tcPr>
            <w:tcW w:w="82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72" w:type="pct"/>
            <w:tcBorders>
              <w:top w:val="single" w:sz="4" w:space="0" w:color="auto"/>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74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3.640.586,61</w:t>
            </w:r>
          </w:p>
        </w:tc>
      </w:tr>
      <w:tr w:rsidR="003326B8" w:rsidRPr="003326B8" w:rsidTr="00560B10">
        <w:trPr>
          <w:trHeight w:val="291"/>
        </w:trPr>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PRIMLJENIH IO  - FOND - 2021.</w:t>
            </w:r>
          </w:p>
        </w:tc>
        <w:tc>
          <w:tcPr>
            <w:tcW w:w="821"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7.531.156,68</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82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72" w:type="pct"/>
            <w:tcBorders>
              <w:top w:val="single" w:sz="4" w:space="0" w:color="auto"/>
              <w:left w:val="nil"/>
              <w:bottom w:val="single" w:sz="4" w:space="0" w:color="auto"/>
              <w:right w:val="nil"/>
            </w:tcBorders>
            <w:shd w:val="clear" w:color="auto" w:fill="auto"/>
            <w:noWrap/>
            <w:vAlign w:val="bottom"/>
            <w:hideMark/>
          </w:tcPr>
          <w:p w:rsidR="003326B8" w:rsidRPr="00560B10" w:rsidRDefault="003326B8" w:rsidP="003326B8">
            <w:pPr>
              <w:jc w:val="right"/>
              <w:rPr>
                <w:rFonts w:cs="Arial"/>
                <w:b/>
                <w:bCs/>
                <w:color w:val="000000"/>
                <w:sz w:val="18"/>
                <w:szCs w:val="18"/>
                <w:lang w:eastAsia="hr-HR"/>
              </w:rPr>
            </w:pPr>
            <w:r w:rsidRPr="00560B10">
              <w:rPr>
                <w:rFonts w:cs="Arial"/>
                <w:b/>
                <w:bCs/>
                <w:color w:val="000000"/>
                <w:sz w:val="18"/>
                <w:szCs w:val="18"/>
                <w:lang w:eastAsia="hr-HR"/>
              </w:rPr>
              <w:t>26.544,62</w:t>
            </w:r>
          </w:p>
        </w:tc>
        <w:tc>
          <w:tcPr>
            <w:tcW w:w="744" w:type="pct"/>
            <w:tcBorders>
              <w:top w:val="nil"/>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7.504.612,06</w:t>
            </w:r>
          </w:p>
        </w:tc>
      </w:tr>
      <w:tr w:rsidR="003326B8" w:rsidRPr="003326B8" w:rsidTr="00560B10">
        <w:trPr>
          <w:trHeight w:val="291"/>
        </w:trPr>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PRIMLJENIH IO  - FOND - 2022.</w:t>
            </w:r>
          </w:p>
        </w:tc>
        <w:tc>
          <w:tcPr>
            <w:tcW w:w="821"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6.666.135,78</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82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72" w:type="pct"/>
            <w:tcBorders>
              <w:top w:val="single" w:sz="4" w:space="0" w:color="auto"/>
              <w:left w:val="nil"/>
              <w:bottom w:val="nil"/>
              <w:right w:val="nil"/>
            </w:tcBorders>
            <w:shd w:val="clear" w:color="auto" w:fill="auto"/>
            <w:noWrap/>
            <w:vAlign w:val="bottom"/>
            <w:hideMark/>
          </w:tcPr>
          <w:p w:rsidR="003326B8" w:rsidRPr="00560B10" w:rsidRDefault="003326B8" w:rsidP="003326B8">
            <w:pPr>
              <w:jc w:val="right"/>
              <w:rPr>
                <w:rFonts w:cs="Arial"/>
                <w:b/>
                <w:bCs/>
                <w:color w:val="000000"/>
                <w:sz w:val="18"/>
                <w:szCs w:val="18"/>
                <w:lang w:eastAsia="hr-HR"/>
              </w:rPr>
            </w:pPr>
            <w:r w:rsidRPr="00560B10">
              <w:rPr>
                <w:rFonts w:cs="Arial"/>
                <w:b/>
                <w:bCs/>
                <w:color w:val="000000"/>
                <w:sz w:val="18"/>
                <w:szCs w:val="18"/>
                <w:lang w:eastAsia="hr-HR"/>
              </w:rPr>
              <w:t>384.896,16</w:t>
            </w:r>
          </w:p>
        </w:tc>
        <w:tc>
          <w:tcPr>
            <w:tcW w:w="744" w:type="pct"/>
            <w:tcBorders>
              <w:top w:val="nil"/>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6.281.239,62</w:t>
            </w:r>
          </w:p>
        </w:tc>
      </w:tr>
      <w:tr w:rsidR="003326B8" w:rsidRPr="003326B8" w:rsidTr="00D15B3E">
        <w:trPr>
          <w:trHeight w:val="291"/>
        </w:trPr>
        <w:tc>
          <w:tcPr>
            <w:tcW w:w="12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26B8" w:rsidRPr="003326B8" w:rsidRDefault="003326B8" w:rsidP="003326B8">
            <w:pPr>
              <w:jc w:val="center"/>
              <w:rPr>
                <w:rFonts w:cs="Arial"/>
                <w:b/>
                <w:bCs/>
                <w:color w:val="000000"/>
                <w:sz w:val="18"/>
                <w:szCs w:val="18"/>
                <w:lang w:eastAsia="hr-HR"/>
              </w:rPr>
            </w:pPr>
            <w:r w:rsidRPr="003326B8">
              <w:rPr>
                <w:rFonts w:cs="Arial"/>
                <w:b/>
                <w:bCs/>
                <w:color w:val="000000"/>
                <w:sz w:val="18"/>
                <w:szCs w:val="18"/>
                <w:lang w:eastAsia="hr-HR"/>
              </w:rPr>
              <w:t>STANJE PRIMLJENIH IO  - FOND - 2023.</w:t>
            </w:r>
          </w:p>
        </w:tc>
        <w:tc>
          <w:tcPr>
            <w:tcW w:w="821"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672"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82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4.677.731,47</w:t>
            </w:r>
          </w:p>
        </w:tc>
        <w:tc>
          <w:tcPr>
            <w:tcW w:w="672" w:type="pct"/>
            <w:tcBorders>
              <w:top w:val="single" w:sz="4" w:space="0" w:color="auto"/>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0,00</w:t>
            </w:r>
          </w:p>
        </w:tc>
        <w:tc>
          <w:tcPr>
            <w:tcW w:w="744" w:type="pct"/>
            <w:tcBorders>
              <w:top w:val="nil"/>
              <w:left w:val="nil"/>
              <w:bottom w:val="single" w:sz="4" w:space="0" w:color="auto"/>
              <w:right w:val="single" w:sz="4" w:space="0" w:color="auto"/>
            </w:tcBorders>
            <w:shd w:val="clear" w:color="auto" w:fill="auto"/>
            <w:noWrap/>
            <w:vAlign w:val="bottom"/>
            <w:hideMark/>
          </w:tcPr>
          <w:p w:rsidR="003326B8" w:rsidRPr="003326B8" w:rsidRDefault="003326B8" w:rsidP="003326B8">
            <w:pPr>
              <w:jc w:val="right"/>
              <w:rPr>
                <w:rFonts w:cs="Arial"/>
                <w:b/>
                <w:bCs/>
                <w:color w:val="000000"/>
                <w:sz w:val="18"/>
                <w:szCs w:val="18"/>
                <w:lang w:eastAsia="hr-HR"/>
              </w:rPr>
            </w:pPr>
            <w:r w:rsidRPr="003326B8">
              <w:rPr>
                <w:rFonts w:cs="Arial"/>
                <w:b/>
                <w:bCs/>
                <w:color w:val="000000"/>
                <w:sz w:val="18"/>
                <w:szCs w:val="18"/>
                <w:lang w:eastAsia="hr-HR"/>
              </w:rPr>
              <w:t>4.677.731,47</w:t>
            </w:r>
          </w:p>
        </w:tc>
      </w:tr>
      <w:tr w:rsidR="003326B8" w:rsidRPr="003326B8" w:rsidTr="00D15B3E">
        <w:trPr>
          <w:trHeight w:val="291"/>
        </w:trPr>
        <w:tc>
          <w:tcPr>
            <w:tcW w:w="1267"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3326B8" w:rsidRPr="003326B8" w:rsidRDefault="003326B8" w:rsidP="003326B8">
            <w:pPr>
              <w:jc w:val="center"/>
              <w:rPr>
                <w:rFonts w:cs="Arial"/>
                <w:b/>
                <w:bCs/>
                <w:sz w:val="18"/>
                <w:szCs w:val="18"/>
                <w:lang w:eastAsia="hr-HR"/>
              </w:rPr>
            </w:pPr>
            <w:r w:rsidRPr="003326B8">
              <w:rPr>
                <w:rFonts w:cs="Arial"/>
                <w:b/>
                <w:bCs/>
                <w:sz w:val="18"/>
                <w:szCs w:val="18"/>
                <w:lang w:eastAsia="hr-HR"/>
              </w:rPr>
              <w:t>Ukupno - FOND</w:t>
            </w:r>
          </w:p>
        </w:tc>
        <w:tc>
          <w:tcPr>
            <w:tcW w:w="821"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36.576.039,81</w:t>
            </w:r>
          </w:p>
        </w:tc>
        <w:tc>
          <w:tcPr>
            <w:tcW w:w="672"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-0,10</w:t>
            </w:r>
          </w:p>
        </w:tc>
        <w:tc>
          <w:tcPr>
            <w:tcW w:w="824"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38.802.651,32</w:t>
            </w:r>
          </w:p>
        </w:tc>
        <w:tc>
          <w:tcPr>
            <w:tcW w:w="672"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610.525,02</w:t>
            </w:r>
          </w:p>
        </w:tc>
        <w:tc>
          <w:tcPr>
            <w:tcW w:w="744"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74.768.166,01</w:t>
            </w:r>
          </w:p>
        </w:tc>
      </w:tr>
      <w:tr w:rsidR="003326B8" w:rsidRPr="003326B8" w:rsidTr="00A650AF">
        <w:trPr>
          <w:trHeight w:val="70"/>
        </w:trPr>
        <w:tc>
          <w:tcPr>
            <w:tcW w:w="1267" w:type="pct"/>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3326B8" w:rsidRPr="003326B8" w:rsidRDefault="003326B8" w:rsidP="003326B8">
            <w:pPr>
              <w:jc w:val="center"/>
              <w:rPr>
                <w:rFonts w:cs="Arial"/>
                <w:b/>
                <w:bCs/>
                <w:sz w:val="18"/>
                <w:szCs w:val="18"/>
                <w:lang w:eastAsia="hr-HR"/>
              </w:rPr>
            </w:pPr>
            <w:r w:rsidRPr="003326B8">
              <w:rPr>
                <w:rFonts w:cs="Arial"/>
                <w:b/>
                <w:bCs/>
                <w:sz w:val="18"/>
                <w:szCs w:val="18"/>
                <w:lang w:eastAsia="hr-HR"/>
              </w:rPr>
              <w:t xml:space="preserve">Ukupno PRIMLJENI instrumenti plaćanja </w:t>
            </w:r>
          </w:p>
        </w:tc>
        <w:tc>
          <w:tcPr>
            <w:tcW w:w="821"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54.710.954,95</w:t>
            </w:r>
          </w:p>
        </w:tc>
        <w:tc>
          <w:tcPr>
            <w:tcW w:w="672"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-0,25</w:t>
            </w:r>
          </w:p>
        </w:tc>
        <w:tc>
          <w:tcPr>
            <w:tcW w:w="824"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43.821.946,32</w:t>
            </w:r>
          </w:p>
        </w:tc>
        <w:tc>
          <w:tcPr>
            <w:tcW w:w="672"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2.242.244,95</w:t>
            </w:r>
          </w:p>
        </w:tc>
        <w:tc>
          <w:tcPr>
            <w:tcW w:w="744" w:type="pct"/>
            <w:tcBorders>
              <w:top w:val="nil"/>
              <w:left w:val="nil"/>
              <w:bottom w:val="single" w:sz="4" w:space="0" w:color="auto"/>
              <w:right w:val="single" w:sz="4" w:space="0" w:color="auto"/>
            </w:tcBorders>
            <w:shd w:val="clear" w:color="000000" w:fill="D0CECE"/>
            <w:noWrap/>
            <w:vAlign w:val="bottom"/>
            <w:hideMark/>
          </w:tcPr>
          <w:p w:rsidR="003326B8" w:rsidRPr="003326B8" w:rsidRDefault="003326B8" w:rsidP="003326B8">
            <w:pPr>
              <w:jc w:val="right"/>
              <w:rPr>
                <w:rFonts w:cs="Arial"/>
                <w:b/>
                <w:bCs/>
                <w:sz w:val="18"/>
                <w:szCs w:val="18"/>
                <w:lang w:eastAsia="hr-HR"/>
              </w:rPr>
            </w:pPr>
            <w:r w:rsidRPr="003326B8">
              <w:rPr>
                <w:rFonts w:cs="Arial"/>
                <w:b/>
                <w:bCs/>
                <w:sz w:val="18"/>
                <w:szCs w:val="18"/>
                <w:lang w:eastAsia="hr-HR"/>
              </w:rPr>
              <w:t>96.290.656,07</w:t>
            </w:r>
          </w:p>
        </w:tc>
      </w:tr>
    </w:tbl>
    <w:p w:rsidR="00F5048D" w:rsidRDefault="00F5048D" w:rsidP="008045BC"/>
    <w:p w:rsidR="003326B8" w:rsidRDefault="003326B8" w:rsidP="008045BC">
      <w:r w:rsidRPr="003538F2">
        <w:t xml:space="preserve">Početno stanje potencijalnih sudskih sporova </w:t>
      </w:r>
      <w:r>
        <w:t>na dan 01.01.2023.godine iznosi 1.834.144,17eur.</w:t>
      </w:r>
      <w:r w:rsidRPr="003538F2">
        <w:t xml:space="preserve"> </w:t>
      </w:r>
      <w:r>
        <w:t>U</w:t>
      </w:r>
      <w:r w:rsidRPr="003538F2">
        <w:t xml:space="preserve"> 20</w:t>
      </w:r>
      <w:r>
        <w:t>23.</w:t>
      </w:r>
      <w:r w:rsidRPr="003538F2">
        <w:t xml:space="preserve"> godini vrijednost sudskih sporova </w:t>
      </w:r>
      <w:r>
        <w:t>smanjena je za</w:t>
      </w:r>
      <w:r w:rsidRPr="003538F2">
        <w:t xml:space="preserve"> iznos od </w:t>
      </w:r>
      <w:r>
        <w:t>123.464,26eur pa</w:t>
      </w:r>
      <w:r w:rsidRPr="003538F2">
        <w:t xml:space="preserve"> </w:t>
      </w:r>
      <w:r w:rsidR="001D55E4">
        <w:t xml:space="preserve">je </w:t>
      </w:r>
      <w:r w:rsidRPr="003538F2">
        <w:t>saldo potencijalnih obveza po sudskim sporovima na dan  31.12.20</w:t>
      </w:r>
      <w:r>
        <w:t>2</w:t>
      </w:r>
      <w:r w:rsidR="001D55E4">
        <w:t>3</w:t>
      </w:r>
      <w:r>
        <w:t>. godine</w:t>
      </w:r>
      <w:r w:rsidRPr="003538F2">
        <w:t xml:space="preserve">  iznosi</w:t>
      </w:r>
      <w:r w:rsidR="001D55E4">
        <w:t>lo</w:t>
      </w:r>
      <w:r w:rsidRPr="003538F2">
        <w:t xml:space="preserve"> </w:t>
      </w:r>
      <w:r>
        <w:t>1</w:t>
      </w:r>
      <w:r w:rsidR="001D55E4">
        <w:t>.710.679,91eur</w:t>
      </w:r>
      <w:r w:rsidRPr="003538F2">
        <w:t xml:space="preserve">.  </w:t>
      </w:r>
    </w:p>
    <w:p w:rsidR="00A650AF" w:rsidRDefault="00A650AF" w:rsidP="008045BC"/>
    <w:p w:rsidR="00C85A8C" w:rsidRDefault="00C439DB" w:rsidP="008045BC">
      <w:r w:rsidRPr="00E94B43">
        <w:rPr>
          <w:rFonts w:ascii="Calibri" w:hAnsi="Calibri" w:cs="Calibri"/>
          <w:b/>
          <w:bCs/>
          <w:color w:val="000000"/>
          <w:szCs w:val="22"/>
          <w:lang w:eastAsia="hr-HR"/>
        </w:rPr>
        <w:t>Tablica: Stanje</w:t>
      </w:r>
      <w:r>
        <w:rPr>
          <w:rFonts w:ascii="Calibri" w:hAnsi="Calibri" w:cs="Calibri"/>
          <w:b/>
          <w:bCs/>
          <w:color w:val="000000"/>
          <w:szCs w:val="22"/>
          <w:lang w:eastAsia="hr-HR"/>
        </w:rPr>
        <w:t xml:space="preserve"> potencijalnih sudskih sporova</w:t>
      </w:r>
      <w:r w:rsidRPr="00E94B43">
        <w:rPr>
          <w:rFonts w:ascii="Calibri" w:hAnsi="Calibri" w:cs="Calibri"/>
          <w:b/>
          <w:bCs/>
          <w:color w:val="000000"/>
          <w:szCs w:val="22"/>
          <w:lang w:eastAsia="hr-HR"/>
        </w:rPr>
        <w:t xml:space="preserve"> Istarske županije na dan 31.12.202</w:t>
      </w:r>
      <w:r w:rsidR="00A138B6">
        <w:rPr>
          <w:rFonts w:ascii="Calibri" w:hAnsi="Calibri" w:cs="Calibri"/>
          <w:b/>
          <w:bCs/>
          <w:color w:val="000000"/>
          <w:szCs w:val="22"/>
          <w:lang w:eastAsia="hr-HR"/>
        </w:rPr>
        <w:t>3</w:t>
      </w:r>
      <w:r w:rsidRPr="00E94B43">
        <w:rPr>
          <w:rFonts w:ascii="Calibri" w:hAnsi="Calibri" w:cs="Calibri"/>
          <w:b/>
          <w:bCs/>
          <w:color w:val="000000"/>
          <w:szCs w:val="22"/>
          <w:lang w:eastAsia="hr-HR"/>
        </w:rPr>
        <w:t>. godine</w:t>
      </w:r>
    </w:p>
    <w:tbl>
      <w:tblPr>
        <w:tblW w:w="7618" w:type="dxa"/>
        <w:tblLook w:val="04A0" w:firstRow="1" w:lastRow="0" w:firstColumn="1" w:lastColumn="0" w:noHBand="0" w:noVBand="1"/>
      </w:tblPr>
      <w:tblGrid>
        <w:gridCol w:w="3539"/>
        <w:gridCol w:w="1386"/>
        <w:gridCol w:w="1481"/>
        <w:gridCol w:w="1542"/>
      </w:tblGrid>
      <w:tr w:rsidR="00A138B6" w:rsidRPr="00A138B6" w:rsidTr="00A650AF">
        <w:trPr>
          <w:trHeight w:val="509"/>
        </w:trPr>
        <w:tc>
          <w:tcPr>
            <w:tcW w:w="353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138B6" w:rsidRPr="00A138B6" w:rsidRDefault="00A138B6" w:rsidP="00A138B6">
            <w:pPr>
              <w:jc w:val="center"/>
              <w:rPr>
                <w:rFonts w:ascii="Calibri" w:hAnsi="Calibri" w:cs="Calibri"/>
                <w:b/>
                <w:bCs/>
                <w:color w:val="000000"/>
                <w:szCs w:val="22"/>
                <w:lang w:eastAsia="hr-HR"/>
              </w:rPr>
            </w:pPr>
            <w:r w:rsidRPr="00A138B6">
              <w:rPr>
                <w:rFonts w:ascii="Calibri" w:hAnsi="Calibri" w:cs="Calibri"/>
                <w:b/>
                <w:bCs/>
                <w:color w:val="000000"/>
                <w:szCs w:val="22"/>
                <w:lang w:eastAsia="hr-HR"/>
              </w:rPr>
              <w:t>Opis</w:t>
            </w:r>
          </w:p>
        </w:tc>
        <w:tc>
          <w:tcPr>
            <w:tcW w:w="1056" w:type="dxa"/>
            <w:tcBorders>
              <w:top w:val="single" w:sz="4" w:space="0" w:color="auto"/>
              <w:left w:val="nil"/>
              <w:bottom w:val="single" w:sz="4" w:space="0" w:color="auto"/>
              <w:right w:val="single" w:sz="4" w:space="0" w:color="auto"/>
            </w:tcBorders>
            <w:shd w:val="clear" w:color="000000" w:fill="D9D9D9"/>
            <w:vAlign w:val="center"/>
            <w:hideMark/>
          </w:tcPr>
          <w:p w:rsidR="00A138B6" w:rsidRPr="00A138B6" w:rsidRDefault="00A138B6" w:rsidP="00A138B6">
            <w:pPr>
              <w:jc w:val="center"/>
              <w:rPr>
                <w:rFonts w:ascii="Calibri" w:hAnsi="Calibri" w:cs="Calibri"/>
                <w:b/>
                <w:bCs/>
                <w:color w:val="000000"/>
                <w:szCs w:val="22"/>
                <w:lang w:eastAsia="hr-HR"/>
              </w:rPr>
            </w:pPr>
            <w:r w:rsidRPr="00A138B6">
              <w:rPr>
                <w:rFonts w:ascii="Calibri" w:hAnsi="Calibri" w:cs="Calibri"/>
                <w:b/>
                <w:bCs/>
                <w:color w:val="000000"/>
                <w:szCs w:val="22"/>
                <w:lang w:eastAsia="hr-HR"/>
              </w:rPr>
              <w:t>Početno stanje 01.01.2023. godine u EUR</w:t>
            </w:r>
          </w:p>
        </w:tc>
        <w:tc>
          <w:tcPr>
            <w:tcW w:w="1481" w:type="dxa"/>
            <w:tcBorders>
              <w:top w:val="single" w:sz="4" w:space="0" w:color="auto"/>
              <w:left w:val="nil"/>
              <w:bottom w:val="single" w:sz="4" w:space="0" w:color="auto"/>
              <w:right w:val="single" w:sz="4" w:space="0" w:color="auto"/>
            </w:tcBorders>
            <w:shd w:val="clear" w:color="000000" w:fill="D9D9D9"/>
            <w:vAlign w:val="center"/>
            <w:hideMark/>
          </w:tcPr>
          <w:p w:rsidR="00A138B6" w:rsidRPr="00A138B6" w:rsidRDefault="00A138B6" w:rsidP="00A138B6">
            <w:pPr>
              <w:jc w:val="center"/>
              <w:rPr>
                <w:rFonts w:ascii="Calibri" w:hAnsi="Calibri" w:cs="Calibri"/>
                <w:b/>
                <w:bCs/>
                <w:color w:val="000000"/>
                <w:szCs w:val="22"/>
                <w:lang w:eastAsia="hr-HR"/>
              </w:rPr>
            </w:pPr>
            <w:r w:rsidRPr="00A138B6">
              <w:rPr>
                <w:rFonts w:ascii="Calibri" w:hAnsi="Calibri" w:cs="Calibri"/>
                <w:b/>
                <w:bCs/>
                <w:color w:val="000000"/>
                <w:szCs w:val="22"/>
                <w:lang w:eastAsia="hr-HR"/>
              </w:rPr>
              <w:t>Promjena</w:t>
            </w:r>
          </w:p>
        </w:tc>
        <w:tc>
          <w:tcPr>
            <w:tcW w:w="1542" w:type="dxa"/>
            <w:tcBorders>
              <w:top w:val="single" w:sz="4" w:space="0" w:color="auto"/>
              <w:left w:val="nil"/>
              <w:bottom w:val="single" w:sz="4" w:space="0" w:color="auto"/>
              <w:right w:val="single" w:sz="4" w:space="0" w:color="auto"/>
            </w:tcBorders>
            <w:shd w:val="clear" w:color="000000" w:fill="D9D9D9"/>
            <w:vAlign w:val="center"/>
            <w:hideMark/>
          </w:tcPr>
          <w:p w:rsidR="00A138B6" w:rsidRPr="00A138B6" w:rsidRDefault="00A138B6" w:rsidP="00A138B6">
            <w:pPr>
              <w:jc w:val="right"/>
              <w:rPr>
                <w:rFonts w:ascii="Calibri" w:hAnsi="Calibri" w:cs="Calibri"/>
                <w:b/>
                <w:bCs/>
                <w:color w:val="000000"/>
                <w:szCs w:val="22"/>
                <w:lang w:eastAsia="hr-HR"/>
              </w:rPr>
            </w:pPr>
            <w:r w:rsidRPr="00A138B6">
              <w:rPr>
                <w:rFonts w:ascii="Calibri" w:hAnsi="Calibri" w:cs="Calibri"/>
                <w:b/>
                <w:bCs/>
                <w:color w:val="000000"/>
                <w:szCs w:val="22"/>
                <w:lang w:eastAsia="hr-HR"/>
              </w:rPr>
              <w:t xml:space="preserve">Završno stanje 31.12.2023. </w:t>
            </w:r>
          </w:p>
        </w:tc>
      </w:tr>
      <w:tr w:rsidR="00A138B6" w:rsidRPr="00A138B6" w:rsidTr="00A650AF">
        <w:trPr>
          <w:trHeight w:val="254"/>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38B6" w:rsidRPr="00A138B6" w:rsidRDefault="00A138B6" w:rsidP="00A138B6">
            <w:pPr>
              <w:jc w:val="left"/>
              <w:rPr>
                <w:rFonts w:ascii="Calibri" w:hAnsi="Calibri" w:cs="Calibri"/>
                <w:color w:val="000000"/>
                <w:szCs w:val="22"/>
                <w:lang w:eastAsia="hr-HR"/>
              </w:rPr>
            </w:pPr>
            <w:r w:rsidRPr="00A138B6">
              <w:rPr>
                <w:rFonts w:ascii="Calibri" w:hAnsi="Calibri" w:cs="Calibri"/>
                <w:color w:val="000000"/>
                <w:szCs w:val="22"/>
                <w:lang w:eastAsia="hr-HR"/>
              </w:rPr>
              <w:t>Stanje sudskih sporova 2018. godine</w:t>
            </w:r>
          </w:p>
        </w:tc>
        <w:tc>
          <w:tcPr>
            <w:tcW w:w="1056" w:type="dxa"/>
            <w:tcBorders>
              <w:top w:val="nil"/>
              <w:left w:val="nil"/>
              <w:bottom w:val="single" w:sz="4" w:space="0" w:color="auto"/>
              <w:right w:val="single" w:sz="4" w:space="0" w:color="auto"/>
            </w:tcBorders>
            <w:shd w:val="clear" w:color="auto" w:fill="auto"/>
            <w:noWrap/>
            <w:vAlign w:val="bottom"/>
            <w:hideMark/>
          </w:tcPr>
          <w:p w:rsidR="00A138B6" w:rsidRPr="00A138B6" w:rsidRDefault="00A138B6" w:rsidP="00A138B6">
            <w:pPr>
              <w:jc w:val="right"/>
              <w:rPr>
                <w:rFonts w:ascii="Calibri" w:hAnsi="Calibri" w:cs="Calibri"/>
                <w:color w:val="000000"/>
                <w:szCs w:val="22"/>
                <w:lang w:eastAsia="hr-HR"/>
              </w:rPr>
            </w:pPr>
            <w:r w:rsidRPr="00A138B6">
              <w:rPr>
                <w:rFonts w:ascii="Calibri" w:hAnsi="Calibri" w:cs="Calibri"/>
                <w:color w:val="000000"/>
                <w:szCs w:val="22"/>
                <w:lang w:eastAsia="hr-HR"/>
              </w:rPr>
              <w:t>0,00</w:t>
            </w:r>
          </w:p>
        </w:tc>
        <w:tc>
          <w:tcPr>
            <w:tcW w:w="1481" w:type="dxa"/>
            <w:tcBorders>
              <w:top w:val="nil"/>
              <w:left w:val="nil"/>
              <w:bottom w:val="single" w:sz="4" w:space="0" w:color="auto"/>
              <w:right w:val="single" w:sz="4" w:space="0" w:color="auto"/>
            </w:tcBorders>
            <w:shd w:val="clear" w:color="auto" w:fill="auto"/>
            <w:noWrap/>
            <w:vAlign w:val="bottom"/>
            <w:hideMark/>
          </w:tcPr>
          <w:p w:rsidR="00A138B6" w:rsidRPr="00A138B6" w:rsidRDefault="00A138B6" w:rsidP="00A138B6">
            <w:pPr>
              <w:jc w:val="right"/>
              <w:rPr>
                <w:rFonts w:ascii="Calibri" w:hAnsi="Calibri" w:cs="Calibri"/>
                <w:color w:val="000000"/>
                <w:szCs w:val="22"/>
                <w:lang w:eastAsia="hr-HR"/>
              </w:rPr>
            </w:pPr>
            <w:r w:rsidRPr="00A138B6">
              <w:rPr>
                <w:rFonts w:ascii="Calibri" w:hAnsi="Calibri" w:cs="Calibri"/>
                <w:color w:val="000000"/>
                <w:szCs w:val="22"/>
                <w:lang w:eastAsia="hr-HR"/>
              </w:rPr>
              <w:t>2.487.193,93</w:t>
            </w:r>
          </w:p>
        </w:tc>
        <w:tc>
          <w:tcPr>
            <w:tcW w:w="1542" w:type="dxa"/>
            <w:tcBorders>
              <w:top w:val="nil"/>
              <w:left w:val="nil"/>
              <w:bottom w:val="single" w:sz="4" w:space="0" w:color="auto"/>
              <w:right w:val="single" w:sz="4" w:space="0" w:color="auto"/>
            </w:tcBorders>
            <w:shd w:val="clear" w:color="auto" w:fill="auto"/>
            <w:noWrap/>
            <w:vAlign w:val="bottom"/>
            <w:hideMark/>
          </w:tcPr>
          <w:p w:rsidR="00A138B6" w:rsidRPr="00A138B6" w:rsidRDefault="00A138B6" w:rsidP="00A138B6">
            <w:pPr>
              <w:jc w:val="right"/>
              <w:rPr>
                <w:rFonts w:ascii="Calibri" w:hAnsi="Calibri" w:cs="Calibri"/>
                <w:color w:val="000000"/>
                <w:szCs w:val="22"/>
                <w:lang w:eastAsia="hr-HR"/>
              </w:rPr>
            </w:pPr>
            <w:r w:rsidRPr="00A138B6">
              <w:rPr>
                <w:rFonts w:ascii="Calibri" w:hAnsi="Calibri" w:cs="Calibri"/>
                <w:color w:val="000000"/>
                <w:szCs w:val="22"/>
                <w:lang w:eastAsia="hr-HR"/>
              </w:rPr>
              <w:t>2.487.193,93</w:t>
            </w:r>
          </w:p>
        </w:tc>
      </w:tr>
      <w:tr w:rsidR="00A138B6" w:rsidRPr="00A138B6" w:rsidTr="00A650AF">
        <w:trPr>
          <w:trHeight w:val="254"/>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38B6" w:rsidRPr="00A138B6" w:rsidRDefault="00A138B6" w:rsidP="00A138B6">
            <w:pPr>
              <w:jc w:val="left"/>
              <w:rPr>
                <w:rFonts w:ascii="Calibri" w:hAnsi="Calibri" w:cs="Calibri"/>
                <w:color w:val="000000"/>
                <w:szCs w:val="22"/>
                <w:lang w:eastAsia="hr-HR"/>
              </w:rPr>
            </w:pPr>
            <w:r w:rsidRPr="00A138B6">
              <w:rPr>
                <w:rFonts w:ascii="Calibri" w:hAnsi="Calibri" w:cs="Calibri"/>
                <w:color w:val="000000"/>
                <w:szCs w:val="22"/>
                <w:lang w:eastAsia="hr-HR"/>
              </w:rPr>
              <w:t>Stanje sudskih sporova 2019. godine</w:t>
            </w:r>
          </w:p>
        </w:tc>
        <w:tc>
          <w:tcPr>
            <w:tcW w:w="1056" w:type="dxa"/>
            <w:tcBorders>
              <w:top w:val="nil"/>
              <w:left w:val="nil"/>
              <w:bottom w:val="single" w:sz="4" w:space="0" w:color="auto"/>
              <w:right w:val="single" w:sz="4" w:space="0" w:color="auto"/>
            </w:tcBorders>
            <w:shd w:val="clear" w:color="auto" w:fill="auto"/>
            <w:noWrap/>
            <w:vAlign w:val="bottom"/>
            <w:hideMark/>
          </w:tcPr>
          <w:p w:rsidR="00A138B6" w:rsidRPr="00A138B6" w:rsidRDefault="00A138B6" w:rsidP="00A138B6">
            <w:pPr>
              <w:jc w:val="right"/>
              <w:rPr>
                <w:rFonts w:ascii="Calibri" w:hAnsi="Calibri" w:cs="Calibri"/>
                <w:color w:val="000000"/>
                <w:szCs w:val="22"/>
                <w:lang w:eastAsia="hr-HR"/>
              </w:rPr>
            </w:pPr>
            <w:r w:rsidRPr="00A138B6">
              <w:rPr>
                <w:rFonts w:ascii="Calibri" w:hAnsi="Calibri" w:cs="Calibri"/>
                <w:color w:val="000000"/>
                <w:szCs w:val="22"/>
                <w:lang w:eastAsia="hr-HR"/>
              </w:rPr>
              <w:t>2.487.193,93</w:t>
            </w:r>
          </w:p>
        </w:tc>
        <w:tc>
          <w:tcPr>
            <w:tcW w:w="1481" w:type="dxa"/>
            <w:tcBorders>
              <w:top w:val="nil"/>
              <w:left w:val="nil"/>
              <w:bottom w:val="single" w:sz="4" w:space="0" w:color="auto"/>
              <w:right w:val="single" w:sz="4" w:space="0" w:color="auto"/>
            </w:tcBorders>
            <w:shd w:val="clear" w:color="auto" w:fill="auto"/>
            <w:noWrap/>
            <w:vAlign w:val="bottom"/>
            <w:hideMark/>
          </w:tcPr>
          <w:p w:rsidR="00A138B6" w:rsidRPr="00A138B6" w:rsidRDefault="00A138B6" w:rsidP="00A138B6">
            <w:pPr>
              <w:jc w:val="right"/>
              <w:rPr>
                <w:rFonts w:ascii="Calibri" w:hAnsi="Calibri" w:cs="Calibri"/>
                <w:color w:val="000000"/>
                <w:szCs w:val="22"/>
                <w:lang w:eastAsia="hr-HR"/>
              </w:rPr>
            </w:pPr>
            <w:r w:rsidRPr="00A138B6">
              <w:rPr>
                <w:rFonts w:ascii="Calibri" w:hAnsi="Calibri" w:cs="Calibri"/>
                <w:color w:val="000000"/>
                <w:szCs w:val="22"/>
                <w:lang w:eastAsia="hr-HR"/>
              </w:rPr>
              <w:t>-910.040,70</w:t>
            </w:r>
          </w:p>
        </w:tc>
        <w:tc>
          <w:tcPr>
            <w:tcW w:w="1542" w:type="dxa"/>
            <w:tcBorders>
              <w:top w:val="nil"/>
              <w:left w:val="nil"/>
              <w:bottom w:val="single" w:sz="4" w:space="0" w:color="auto"/>
              <w:right w:val="single" w:sz="4" w:space="0" w:color="auto"/>
            </w:tcBorders>
            <w:shd w:val="clear" w:color="auto" w:fill="auto"/>
            <w:noWrap/>
            <w:vAlign w:val="bottom"/>
            <w:hideMark/>
          </w:tcPr>
          <w:p w:rsidR="00A138B6" w:rsidRPr="00A138B6" w:rsidRDefault="00A138B6" w:rsidP="00A138B6">
            <w:pPr>
              <w:jc w:val="right"/>
              <w:rPr>
                <w:rFonts w:ascii="Calibri" w:hAnsi="Calibri" w:cs="Calibri"/>
                <w:color w:val="000000"/>
                <w:szCs w:val="22"/>
                <w:lang w:eastAsia="hr-HR"/>
              </w:rPr>
            </w:pPr>
            <w:r w:rsidRPr="00A138B6">
              <w:rPr>
                <w:rFonts w:ascii="Calibri" w:hAnsi="Calibri" w:cs="Calibri"/>
                <w:color w:val="000000"/>
                <w:szCs w:val="22"/>
                <w:lang w:eastAsia="hr-HR"/>
              </w:rPr>
              <w:t>1.577.153,23</w:t>
            </w:r>
          </w:p>
        </w:tc>
      </w:tr>
      <w:tr w:rsidR="00A138B6" w:rsidRPr="00A138B6" w:rsidTr="00A650AF">
        <w:trPr>
          <w:trHeight w:val="254"/>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38B6" w:rsidRPr="00A138B6" w:rsidRDefault="00A138B6" w:rsidP="00A138B6">
            <w:pPr>
              <w:jc w:val="left"/>
              <w:rPr>
                <w:rFonts w:ascii="Calibri" w:hAnsi="Calibri" w:cs="Calibri"/>
                <w:color w:val="000000"/>
                <w:szCs w:val="22"/>
                <w:lang w:eastAsia="hr-HR"/>
              </w:rPr>
            </w:pPr>
            <w:r w:rsidRPr="00A138B6">
              <w:rPr>
                <w:rFonts w:ascii="Calibri" w:hAnsi="Calibri" w:cs="Calibri"/>
                <w:color w:val="000000"/>
                <w:szCs w:val="22"/>
                <w:lang w:eastAsia="hr-HR"/>
              </w:rPr>
              <w:t>Stanje sudskih sporova 2020. godine</w:t>
            </w:r>
          </w:p>
        </w:tc>
        <w:tc>
          <w:tcPr>
            <w:tcW w:w="1056" w:type="dxa"/>
            <w:tcBorders>
              <w:top w:val="nil"/>
              <w:left w:val="nil"/>
              <w:bottom w:val="single" w:sz="4" w:space="0" w:color="auto"/>
              <w:right w:val="single" w:sz="4" w:space="0" w:color="auto"/>
            </w:tcBorders>
            <w:shd w:val="clear" w:color="auto" w:fill="auto"/>
            <w:noWrap/>
            <w:vAlign w:val="bottom"/>
            <w:hideMark/>
          </w:tcPr>
          <w:p w:rsidR="00A138B6" w:rsidRPr="00A138B6" w:rsidRDefault="00A138B6" w:rsidP="00A138B6">
            <w:pPr>
              <w:jc w:val="right"/>
              <w:rPr>
                <w:rFonts w:ascii="Calibri" w:hAnsi="Calibri" w:cs="Calibri"/>
                <w:color w:val="000000"/>
                <w:szCs w:val="22"/>
                <w:lang w:eastAsia="hr-HR"/>
              </w:rPr>
            </w:pPr>
            <w:r w:rsidRPr="00A138B6">
              <w:rPr>
                <w:rFonts w:ascii="Calibri" w:hAnsi="Calibri" w:cs="Calibri"/>
                <w:color w:val="000000"/>
                <w:szCs w:val="22"/>
                <w:lang w:eastAsia="hr-HR"/>
              </w:rPr>
              <w:t>1.577.153,23</w:t>
            </w:r>
          </w:p>
        </w:tc>
        <w:tc>
          <w:tcPr>
            <w:tcW w:w="1481" w:type="dxa"/>
            <w:tcBorders>
              <w:top w:val="nil"/>
              <w:left w:val="nil"/>
              <w:bottom w:val="single" w:sz="4" w:space="0" w:color="auto"/>
              <w:right w:val="single" w:sz="4" w:space="0" w:color="auto"/>
            </w:tcBorders>
            <w:shd w:val="clear" w:color="auto" w:fill="auto"/>
            <w:noWrap/>
            <w:vAlign w:val="bottom"/>
            <w:hideMark/>
          </w:tcPr>
          <w:p w:rsidR="00A138B6" w:rsidRPr="00A138B6" w:rsidRDefault="00A138B6" w:rsidP="00A138B6">
            <w:pPr>
              <w:jc w:val="right"/>
              <w:rPr>
                <w:rFonts w:ascii="Calibri" w:hAnsi="Calibri" w:cs="Calibri"/>
                <w:color w:val="000000"/>
                <w:szCs w:val="22"/>
                <w:lang w:eastAsia="hr-HR"/>
              </w:rPr>
            </w:pPr>
            <w:r w:rsidRPr="00A138B6">
              <w:rPr>
                <w:rFonts w:ascii="Calibri" w:hAnsi="Calibri" w:cs="Calibri"/>
                <w:color w:val="000000"/>
                <w:szCs w:val="22"/>
                <w:lang w:eastAsia="hr-HR"/>
              </w:rPr>
              <w:t>-123.753,94</w:t>
            </w:r>
          </w:p>
        </w:tc>
        <w:tc>
          <w:tcPr>
            <w:tcW w:w="1542" w:type="dxa"/>
            <w:tcBorders>
              <w:top w:val="nil"/>
              <w:left w:val="nil"/>
              <w:bottom w:val="single" w:sz="4" w:space="0" w:color="auto"/>
              <w:right w:val="single" w:sz="4" w:space="0" w:color="auto"/>
            </w:tcBorders>
            <w:shd w:val="clear" w:color="auto" w:fill="auto"/>
            <w:noWrap/>
            <w:vAlign w:val="bottom"/>
            <w:hideMark/>
          </w:tcPr>
          <w:p w:rsidR="00A138B6" w:rsidRPr="00A138B6" w:rsidRDefault="00A138B6" w:rsidP="00A138B6">
            <w:pPr>
              <w:jc w:val="right"/>
              <w:rPr>
                <w:rFonts w:ascii="Calibri" w:hAnsi="Calibri" w:cs="Calibri"/>
                <w:color w:val="000000"/>
                <w:szCs w:val="22"/>
                <w:lang w:eastAsia="hr-HR"/>
              </w:rPr>
            </w:pPr>
            <w:r w:rsidRPr="00A138B6">
              <w:rPr>
                <w:rFonts w:ascii="Calibri" w:hAnsi="Calibri" w:cs="Calibri"/>
                <w:color w:val="000000"/>
                <w:szCs w:val="22"/>
                <w:lang w:eastAsia="hr-HR"/>
              </w:rPr>
              <w:t>1.453.399,29</w:t>
            </w:r>
          </w:p>
        </w:tc>
      </w:tr>
      <w:tr w:rsidR="00A138B6" w:rsidRPr="00A138B6" w:rsidTr="00A650AF">
        <w:trPr>
          <w:trHeight w:val="254"/>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38B6" w:rsidRPr="00A138B6" w:rsidRDefault="00A138B6" w:rsidP="00A138B6">
            <w:pPr>
              <w:jc w:val="left"/>
              <w:rPr>
                <w:rFonts w:ascii="Calibri" w:hAnsi="Calibri" w:cs="Calibri"/>
                <w:color w:val="000000"/>
                <w:szCs w:val="22"/>
                <w:lang w:eastAsia="hr-HR"/>
              </w:rPr>
            </w:pPr>
            <w:r w:rsidRPr="00A138B6">
              <w:rPr>
                <w:rFonts w:ascii="Calibri" w:hAnsi="Calibri" w:cs="Calibri"/>
                <w:color w:val="000000"/>
                <w:szCs w:val="22"/>
                <w:lang w:eastAsia="hr-HR"/>
              </w:rPr>
              <w:t>Stanje sudskih sporova 2021. godine</w:t>
            </w:r>
          </w:p>
        </w:tc>
        <w:tc>
          <w:tcPr>
            <w:tcW w:w="1056" w:type="dxa"/>
            <w:tcBorders>
              <w:top w:val="nil"/>
              <w:left w:val="nil"/>
              <w:bottom w:val="single" w:sz="4" w:space="0" w:color="auto"/>
              <w:right w:val="single" w:sz="4" w:space="0" w:color="auto"/>
            </w:tcBorders>
            <w:shd w:val="clear" w:color="auto" w:fill="auto"/>
            <w:noWrap/>
            <w:vAlign w:val="bottom"/>
            <w:hideMark/>
          </w:tcPr>
          <w:p w:rsidR="00A138B6" w:rsidRPr="00A138B6" w:rsidRDefault="00A138B6" w:rsidP="00A138B6">
            <w:pPr>
              <w:jc w:val="right"/>
              <w:rPr>
                <w:rFonts w:ascii="Calibri" w:hAnsi="Calibri" w:cs="Calibri"/>
                <w:color w:val="000000"/>
                <w:szCs w:val="22"/>
                <w:lang w:eastAsia="hr-HR"/>
              </w:rPr>
            </w:pPr>
            <w:r w:rsidRPr="00A138B6">
              <w:rPr>
                <w:rFonts w:ascii="Calibri" w:hAnsi="Calibri" w:cs="Calibri"/>
                <w:color w:val="000000"/>
                <w:szCs w:val="22"/>
                <w:lang w:eastAsia="hr-HR"/>
              </w:rPr>
              <w:t>1.453.399,29</w:t>
            </w:r>
          </w:p>
        </w:tc>
        <w:tc>
          <w:tcPr>
            <w:tcW w:w="1481" w:type="dxa"/>
            <w:tcBorders>
              <w:top w:val="nil"/>
              <w:left w:val="nil"/>
              <w:bottom w:val="single" w:sz="4" w:space="0" w:color="auto"/>
              <w:right w:val="single" w:sz="4" w:space="0" w:color="auto"/>
            </w:tcBorders>
            <w:shd w:val="clear" w:color="auto" w:fill="auto"/>
            <w:noWrap/>
            <w:vAlign w:val="bottom"/>
            <w:hideMark/>
          </w:tcPr>
          <w:p w:rsidR="00A138B6" w:rsidRPr="00A138B6" w:rsidRDefault="00A138B6" w:rsidP="00A138B6">
            <w:pPr>
              <w:jc w:val="right"/>
              <w:rPr>
                <w:rFonts w:ascii="Calibri" w:hAnsi="Calibri" w:cs="Calibri"/>
                <w:color w:val="000000"/>
                <w:szCs w:val="22"/>
                <w:lang w:eastAsia="hr-HR"/>
              </w:rPr>
            </w:pPr>
            <w:r w:rsidRPr="00A138B6">
              <w:rPr>
                <w:rFonts w:ascii="Calibri" w:hAnsi="Calibri" w:cs="Calibri"/>
                <w:color w:val="000000"/>
                <w:szCs w:val="22"/>
                <w:lang w:eastAsia="hr-HR"/>
              </w:rPr>
              <w:t>186.466,18</w:t>
            </w:r>
          </w:p>
        </w:tc>
        <w:tc>
          <w:tcPr>
            <w:tcW w:w="1542" w:type="dxa"/>
            <w:tcBorders>
              <w:top w:val="nil"/>
              <w:left w:val="nil"/>
              <w:bottom w:val="single" w:sz="4" w:space="0" w:color="auto"/>
              <w:right w:val="single" w:sz="4" w:space="0" w:color="auto"/>
            </w:tcBorders>
            <w:shd w:val="clear" w:color="auto" w:fill="auto"/>
            <w:noWrap/>
            <w:vAlign w:val="bottom"/>
            <w:hideMark/>
          </w:tcPr>
          <w:p w:rsidR="00A138B6" w:rsidRPr="00A138B6" w:rsidRDefault="00A138B6" w:rsidP="00A138B6">
            <w:pPr>
              <w:jc w:val="right"/>
              <w:rPr>
                <w:rFonts w:ascii="Calibri" w:hAnsi="Calibri" w:cs="Calibri"/>
                <w:color w:val="000000"/>
                <w:szCs w:val="22"/>
                <w:lang w:eastAsia="hr-HR"/>
              </w:rPr>
            </w:pPr>
            <w:r w:rsidRPr="00A138B6">
              <w:rPr>
                <w:rFonts w:ascii="Calibri" w:hAnsi="Calibri" w:cs="Calibri"/>
                <w:color w:val="000000"/>
                <w:szCs w:val="22"/>
                <w:lang w:eastAsia="hr-HR"/>
              </w:rPr>
              <w:t>1.639.865,47</w:t>
            </w:r>
          </w:p>
        </w:tc>
      </w:tr>
      <w:tr w:rsidR="00A138B6" w:rsidRPr="00A138B6" w:rsidTr="00A650AF">
        <w:trPr>
          <w:trHeight w:val="254"/>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38B6" w:rsidRPr="00A138B6" w:rsidRDefault="00A138B6" w:rsidP="00A138B6">
            <w:pPr>
              <w:jc w:val="left"/>
              <w:rPr>
                <w:rFonts w:ascii="Calibri" w:hAnsi="Calibri" w:cs="Calibri"/>
                <w:color w:val="000000"/>
                <w:szCs w:val="22"/>
                <w:lang w:eastAsia="hr-HR"/>
              </w:rPr>
            </w:pPr>
            <w:r w:rsidRPr="00A138B6">
              <w:rPr>
                <w:rFonts w:ascii="Calibri" w:hAnsi="Calibri" w:cs="Calibri"/>
                <w:color w:val="000000"/>
                <w:szCs w:val="22"/>
                <w:lang w:eastAsia="hr-HR"/>
              </w:rPr>
              <w:t>Stanje sudskih sporova 2022. godine</w:t>
            </w:r>
          </w:p>
        </w:tc>
        <w:tc>
          <w:tcPr>
            <w:tcW w:w="1056" w:type="dxa"/>
            <w:tcBorders>
              <w:top w:val="nil"/>
              <w:left w:val="nil"/>
              <w:bottom w:val="single" w:sz="4" w:space="0" w:color="auto"/>
              <w:right w:val="single" w:sz="4" w:space="0" w:color="auto"/>
            </w:tcBorders>
            <w:shd w:val="clear" w:color="auto" w:fill="auto"/>
            <w:noWrap/>
            <w:vAlign w:val="bottom"/>
            <w:hideMark/>
          </w:tcPr>
          <w:p w:rsidR="00A138B6" w:rsidRPr="00A138B6" w:rsidRDefault="00A138B6" w:rsidP="00A138B6">
            <w:pPr>
              <w:jc w:val="right"/>
              <w:rPr>
                <w:rFonts w:ascii="Calibri" w:hAnsi="Calibri" w:cs="Calibri"/>
                <w:color w:val="000000"/>
                <w:szCs w:val="22"/>
                <w:lang w:eastAsia="hr-HR"/>
              </w:rPr>
            </w:pPr>
            <w:r w:rsidRPr="00A138B6">
              <w:rPr>
                <w:rFonts w:ascii="Calibri" w:hAnsi="Calibri" w:cs="Calibri"/>
                <w:color w:val="000000"/>
                <w:szCs w:val="22"/>
                <w:lang w:eastAsia="hr-HR"/>
              </w:rPr>
              <w:t>1.639.865,47</w:t>
            </w:r>
          </w:p>
        </w:tc>
        <w:tc>
          <w:tcPr>
            <w:tcW w:w="1481" w:type="dxa"/>
            <w:tcBorders>
              <w:top w:val="nil"/>
              <w:left w:val="nil"/>
              <w:bottom w:val="single" w:sz="4" w:space="0" w:color="auto"/>
              <w:right w:val="single" w:sz="4" w:space="0" w:color="auto"/>
            </w:tcBorders>
            <w:shd w:val="clear" w:color="auto" w:fill="auto"/>
            <w:noWrap/>
            <w:vAlign w:val="bottom"/>
            <w:hideMark/>
          </w:tcPr>
          <w:p w:rsidR="00A138B6" w:rsidRPr="00A138B6" w:rsidRDefault="00A138B6" w:rsidP="00A138B6">
            <w:pPr>
              <w:jc w:val="right"/>
              <w:rPr>
                <w:rFonts w:ascii="Calibri" w:hAnsi="Calibri" w:cs="Calibri"/>
                <w:color w:val="000000"/>
                <w:szCs w:val="22"/>
                <w:lang w:eastAsia="hr-HR"/>
              </w:rPr>
            </w:pPr>
            <w:r w:rsidRPr="00A138B6">
              <w:rPr>
                <w:rFonts w:ascii="Calibri" w:hAnsi="Calibri" w:cs="Calibri"/>
                <w:color w:val="000000"/>
                <w:szCs w:val="22"/>
                <w:lang w:eastAsia="hr-HR"/>
              </w:rPr>
              <w:t>194.278,70</w:t>
            </w:r>
          </w:p>
        </w:tc>
        <w:tc>
          <w:tcPr>
            <w:tcW w:w="1542" w:type="dxa"/>
            <w:tcBorders>
              <w:top w:val="nil"/>
              <w:left w:val="nil"/>
              <w:bottom w:val="single" w:sz="4" w:space="0" w:color="auto"/>
              <w:right w:val="single" w:sz="4" w:space="0" w:color="auto"/>
            </w:tcBorders>
            <w:shd w:val="clear" w:color="auto" w:fill="auto"/>
            <w:noWrap/>
            <w:vAlign w:val="bottom"/>
            <w:hideMark/>
          </w:tcPr>
          <w:p w:rsidR="00A138B6" w:rsidRPr="00A138B6" w:rsidRDefault="00A138B6" w:rsidP="00A138B6">
            <w:pPr>
              <w:jc w:val="right"/>
              <w:rPr>
                <w:rFonts w:ascii="Calibri" w:hAnsi="Calibri" w:cs="Calibri"/>
                <w:color w:val="000000"/>
                <w:szCs w:val="22"/>
                <w:lang w:eastAsia="hr-HR"/>
              </w:rPr>
            </w:pPr>
            <w:r w:rsidRPr="00A138B6">
              <w:rPr>
                <w:rFonts w:ascii="Calibri" w:hAnsi="Calibri" w:cs="Calibri"/>
                <w:color w:val="000000"/>
                <w:szCs w:val="22"/>
                <w:lang w:eastAsia="hr-HR"/>
              </w:rPr>
              <w:t>1.834.144,17</w:t>
            </w:r>
          </w:p>
        </w:tc>
      </w:tr>
      <w:tr w:rsidR="00A138B6" w:rsidRPr="00A138B6" w:rsidTr="00A650AF">
        <w:trPr>
          <w:trHeight w:val="254"/>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A138B6" w:rsidRPr="00A138B6" w:rsidRDefault="00A138B6" w:rsidP="00A138B6">
            <w:pPr>
              <w:jc w:val="left"/>
              <w:rPr>
                <w:rFonts w:ascii="Calibri" w:hAnsi="Calibri" w:cs="Calibri"/>
                <w:color w:val="000000"/>
                <w:szCs w:val="22"/>
                <w:lang w:eastAsia="hr-HR"/>
              </w:rPr>
            </w:pPr>
            <w:r w:rsidRPr="00A138B6">
              <w:rPr>
                <w:rFonts w:ascii="Calibri" w:hAnsi="Calibri" w:cs="Calibri"/>
                <w:color w:val="000000"/>
                <w:szCs w:val="22"/>
                <w:lang w:eastAsia="hr-HR"/>
              </w:rPr>
              <w:t>Stanje sudskih sporova 2023. godine</w:t>
            </w:r>
          </w:p>
        </w:tc>
        <w:tc>
          <w:tcPr>
            <w:tcW w:w="1056" w:type="dxa"/>
            <w:tcBorders>
              <w:top w:val="nil"/>
              <w:left w:val="nil"/>
              <w:bottom w:val="single" w:sz="4" w:space="0" w:color="auto"/>
              <w:right w:val="single" w:sz="4" w:space="0" w:color="auto"/>
            </w:tcBorders>
            <w:shd w:val="clear" w:color="auto" w:fill="auto"/>
            <w:noWrap/>
            <w:vAlign w:val="bottom"/>
            <w:hideMark/>
          </w:tcPr>
          <w:p w:rsidR="00A138B6" w:rsidRPr="00A138B6" w:rsidRDefault="00A138B6" w:rsidP="00A138B6">
            <w:pPr>
              <w:jc w:val="right"/>
              <w:rPr>
                <w:rFonts w:ascii="Calibri" w:hAnsi="Calibri" w:cs="Calibri"/>
                <w:color w:val="000000"/>
                <w:szCs w:val="22"/>
                <w:lang w:eastAsia="hr-HR"/>
              </w:rPr>
            </w:pPr>
            <w:r w:rsidRPr="00A138B6">
              <w:rPr>
                <w:rFonts w:ascii="Calibri" w:hAnsi="Calibri" w:cs="Calibri"/>
                <w:color w:val="000000"/>
                <w:szCs w:val="22"/>
                <w:lang w:eastAsia="hr-HR"/>
              </w:rPr>
              <w:t>1.834.144,17</w:t>
            </w:r>
          </w:p>
        </w:tc>
        <w:tc>
          <w:tcPr>
            <w:tcW w:w="1481" w:type="dxa"/>
            <w:tcBorders>
              <w:top w:val="nil"/>
              <w:left w:val="nil"/>
              <w:bottom w:val="single" w:sz="4" w:space="0" w:color="auto"/>
              <w:right w:val="single" w:sz="4" w:space="0" w:color="auto"/>
            </w:tcBorders>
            <w:shd w:val="clear" w:color="auto" w:fill="auto"/>
            <w:noWrap/>
            <w:vAlign w:val="bottom"/>
            <w:hideMark/>
          </w:tcPr>
          <w:p w:rsidR="00A138B6" w:rsidRPr="00A138B6" w:rsidRDefault="00A138B6" w:rsidP="00A138B6">
            <w:pPr>
              <w:jc w:val="right"/>
              <w:rPr>
                <w:rFonts w:ascii="Calibri" w:hAnsi="Calibri" w:cs="Calibri"/>
                <w:color w:val="000000"/>
                <w:szCs w:val="22"/>
                <w:lang w:eastAsia="hr-HR"/>
              </w:rPr>
            </w:pPr>
            <w:r w:rsidRPr="00A138B6">
              <w:rPr>
                <w:rFonts w:ascii="Calibri" w:hAnsi="Calibri" w:cs="Calibri"/>
                <w:color w:val="000000"/>
                <w:szCs w:val="22"/>
                <w:lang w:eastAsia="hr-HR"/>
              </w:rPr>
              <w:t>-123.464,26</w:t>
            </w:r>
          </w:p>
        </w:tc>
        <w:tc>
          <w:tcPr>
            <w:tcW w:w="1542" w:type="dxa"/>
            <w:tcBorders>
              <w:top w:val="nil"/>
              <w:left w:val="nil"/>
              <w:bottom w:val="single" w:sz="4" w:space="0" w:color="auto"/>
              <w:right w:val="single" w:sz="4" w:space="0" w:color="auto"/>
            </w:tcBorders>
            <w:shd w:val="clear" w:color="auto" w:fill="auto"/>
            <w:noWrap/>
            <w:vAlign w:val="bottom"/>
            <w:hideMark/>
          </w:tcPr>
          <w:p w:rsidR="00A138B6" w:rsidRPr="00A138B6" w:rsidRDefault="00A138B6" w:rsidP="00A138B6">
            <w:pPr>
              <w:jc w:val="right"/>
              <w:rPr>
                <w:rFonts w:ascii="Calibri" w:hAnsi="Calibri" w:cs="Calibri"/>
                <w:color w:val="000000"/>
                <w:szCs w:val="22"/>
                <w:lang w:eastAsia="hr-HR"/>
              </w:rPr>
            </w:pPr>
            <w:r w:rsidRPr="00A138B6">
              <w:rPr>
                <w:rFonts w:ascii="Calibri" w:hAnsi="Calibri" w:cs="Calibri"/>
                <w:color w:val="000000"/>
                <w:szCs w:val="22"/>
                <w:lang w:eastAsia="hr-HR"/>
              </w:rPr>
              <w:t>1.710.679,91</w:t>
            </w:r>
          </w:p>
        </w:tc>
      </w:tr>
    </w:tbl>
    <w:p w:rsidR="00C85A8C" w:rsidRDefault="00C85A8C" w:rsidP="008045BC"/>
    <w:p w:rsidR="00F5048D" w:rsidRPr="00D90ECD" w:rsidRDefault="00C65EBC" w:rsidP="008045BC">
      <w:r>
        <w:lastRenderedPageBreak/>
        <w:t>Stanje izdanih suglasnosti na dan 31.12.2023.godine</w:t>
      </w:r>
      <w:r w:rsidR="008045BC" w:rsidRPr="00D90ECD">
        <w:t xml:space="preserve"> iznos</w:t>
      </w:r>
      <w:r>
        <w:t>i ukupno</w:t>
      </w:r>
      <w:r w:rsidR="008045BC" w:rsidRPr="00D90ECD">
        <w:t xml:space="preserve"> </w:t>
      </w:r>
      <w:r w:rsidR="003D00EB" w:rsidRPr="00D90ECD">
        <w:t>3</w:t>
      </w:r>
      <w:r w:rsidR="00FC0779" w:rsidRPr="00D90ECD">
        <w:t>2</w:t>
      </w:r>
      <w:r w:rsidR="003D00EB" w:rsidRPr="00D90ECD">
        <w:t>.</w:t>
      </w:r>
      <w:r w:rsidR="00FC0779" w:rsidRPr="00D90ECD">
        <w:t>644</w:t>
      </w:r>
      <w:r w:rsidR="003D00EB" w:rsidRPr="00D90ECD">
        <w:t>.7</w:t>
      </w:r>
      <w:r w:rsidR="00FC0779" w:rsidRPr="00D90ECD">
        <w:t>2</w:t>
      </w:r>
      <w:r w:rsidR="003D00EB" w:rsidRPr="00D90ECD">
        <w:t>0,</w:t>
      </w:r>
      <w:r w:rsidR="00FC0779" w:rsidRPr="00D90ECD">
        <w:t>06eur</w:t>
      </w:r>
      <w:r w:rsidR="008045BC" w:rsidRPr="00D90ECD">
        <w:t xml:space="preserve">, a odnosi se na otplate:  Opće bolnice Pula, Lučke uprave </w:t>
      </w:r>
      <w:proofErr w:type="spellStart"/>
      <w:r w:rsidR="008045BC" w:rsidRPr="00D90ECD">
        <w:t>Rabac</w:t>
      </w:r>
      <w:proofErr w:type="spellEnd"/>
      <w:r w:rsidR="008045BC" w:rsidRPr="00D90ECD">
        <w:t>, Plinare d.o.o., Lučke uprave Umag</w:t>
      </w:r>
      <w:r>
        <w:t>-</w:t>
      </w:r>
      <w:r w:rsidR="008045BC" w:rsidRPr="00D90ECD">
        <w:t>Novigrad</w:t>
      </w:r>
      <w:r w:rsidR="003D00EB" w:rsidRPr="00D90ECD">
        <w:t>, Rovinj i Poreč</w:t>
      </w:r>
      <w:r w:rsidR="008045BC" w:rsidRPr="00D90ECD">
        <w:t>, Istarskih domova zdravlja</w:t>
      </w:r>
      <w:r w:rsidR="003D00EB" w:rsidRPr="00D90ECD">
        <w:t xml:space="preserve">, </w:t>
      </w:r>
      <w:r>
        <w:t>Specijalne bolnice</w:t>
      </w:r>
      <w:r w:rsidR="003D00EB" w:rsidRPr="00D90ECD">
        <w:t xml:space="preserve"> Martin Horvat Rovinj i ŽCGO </w:t>
      </w:r>
      <w:proofErr w:type="spellStart"/>
      <w:r w:rsidR="003D00EB" w:rsidRPr="00D90ECD">
        <w:t>Kaštijun</w:t>
      </w:r>
      <w:proofErr w:type="spellEnd"/>
    </w:p>
    <w:p w:rsidR="00F5048D" w:rsidRPr="00D90ECD" w:rsidRDefault="00F5048D" w:rsidP="008045BC"/>
    <w:p w:rsidR="008045BC" w:rsidRPr="00D90ECD" w:rsidRDefault="008045BC" w:rsidP="008045BC">
      <w:r w:rsidRPr="00D90ECD">
        <w:t>Zaduženj</w:t>
      </w:r>
      <w:r w:rsidR="00C65EBC">
        <w:t>e</w:t>
      </w:r>
      <w:r w:rsidRPr="00D90ECD">
        <w:t xml:space="preserve"> u 20</w:t>
      </w:r>
      <w:r w:rsidR="003D00EB" w:rsidRPr="00D90ECD">
        <w:t>2</w:t>
      </w:r>
      <w:r w:rsidR="00FC0779" w:rsidRPr="00D90ECD">
        <w:t>3</w:t>
      </w:r>
      <w:r w:rsidRPr="00D90ECD">
        <w:t>. godini</w:t>
      </w:r>
      <w:r w:rsidR="00FC0779" w:rsidRPr="00D90ECD">
        <w:t xml:space="preserve"> u iznosu od 4.300.00,00eur odnosi se na Specijalnu bolnicu Martin Horvat Rovinj</w:t>
      </w:r>
      <w:r w:rsidR="003D00EB" w:rsidRPr="00D90ECD">
        <w:t>, a ukupno smanjenje je iznosilo 3</w:t>
      </w:r>
      <w:r w:rsidR="00FC0779" w:rsidRPr="00D90ECD">
        <w:t>.565.471,60eur</w:t>
      </w:r>
      <w:r w:rsidR="003D00EB" w:rsidRPr="00D90ECD">
        <w:t xml:space="preserve"> što</w:t>
      </w:r>
      <w:r w:rsidRPr="00D90ECD">
        <w:t xml:space="preserve"> zajedno sa početnim saldom na dan 01.01.202</w:t>
      </w:r>
      <w:r w:rsidR="00FC0779" w:rsidRPr="00D90ECD">
        <w:t>3</w:t>
      </w:r>
      <w:r w:rsidRPr="00D90ECD">
        <w:t xml:space="preserve">. u iznosu od </w:t>
      </w:r>
      <w:r w:rsidR="00FC0779" w:rsidRPr="00D90ECD">
        <w:t>31.910.191,66eur</w:t>
      </w:r>
      <w:r w:rsidRPr="00D90ECD">
        <w:t xml:space="preserve">  rezultira stanjem  duga temeljem izdanih suglasnosti na dan 31.12.202</w:t>
      </w:r>
      <w:r w:rsidR="00FC0779" w:rsidRPr="00D90ECD">
        <w:t>3</w:t>
      </w:r>
      <w:r w:rsidRPr="00D90ECD">
        <w:t xml:space="preserve">. iznosom od </w:t>
      </w:r>
      <w:r w:rsidR="00FC0779" w:rsidRPr="00D90ECD">
        <w:t>32.644.720,06eur</w:t>
      </w:r>
      <w:r w:rsidRPr="00D90ECD">
        <w:t>.</w:t>
      </w:r>
    </w:p>
    <w:p w:rsidR="00C439DB" w:rsidRPr="00D90ECD" w:rsidRDefault="00C439DB" w:rsidP="008045BC"/>
    <w:p w:rsidR="008045BC" w:rsidRDefault="00C439DB" w:rsidP="008045BC">
      <w:pPr>
        <w:rPr>
          <w:rFonts w:ascii="Calibri" w:hAnsi="Calibri" w:cs="Calibri"/>
          <w:b/>
          <w:bCs/>
          <w:color w:val="000000"/>
          <w:szCs w:val="22"/>
          <w:lang w:eastAsia="hr-HR"/>
        </w:rPr>
      </w:pPr>
      <w:r w:rsidRPr="00C439DB">
        <w:rPr>
          <w:rFonts w:ascii="Calibri" w:hAnsi="Calibri" w:cs="Calibri"/>
          <w:b/>
          <w:bCs/>
          <w:color w:val="000000"/>
          <w:szCs w:val="22"/>
          <w:lang w:eastAsia="hr-HR"/>
        </w:rPr>
        <w:t xml:space="preserve">Tablica: Stanje </w:t>
      </w:r>
      <w:r>
        <w:rPr>
          <w:rFonts w:ascii="Calibri" w:hAnsi="Calibri" w:cs="Calibri"/>
          <w:b/>
          <w:bCs/>
          <w:color w:val="000000"/>
          <w:szCs w:val="22"/>
          <w:lang w:eastAsia="hr-HR"/>
        </w:rPr>
        <w:t>izdanih suglasnosti</w:t>
      </w:r>
      <w:r w:rsidRPr="00C439DB">
        <w:rPr>
          <w:rFonts w:ascii="Calibri" w:hAnsi="Calibri" w:cs="Calibri"/>
          <w:b/>
          <w:bCs/>
          <w:color w:val="000000"/>
          <w:szCs w:val="22"/>
          <w:lang w:eastAsia="hr-HR"/>
        </w:rPr>
        <w:t xml:space="preserve"> Istarske županije na dan 31.12.202</w:t>
      </w:r>
      <w:r w:rsidR="00FC0779">
        <w:rPr>
          <w:rFonts w:ascii="Calibri" w:hAnsi="Calibri" w:cs="Calibri"/>
          <w:b/>
          <w:bCs/>
          <w:color w:val="000000"/>
          <w:szCs w:val="22"/>
          <w:lang w:eastAsia="hr-HR"/>
        </w:rPr>
        <w:t>3</w:t>
      </w:r>
      <w:r w:rsidRPr="00C439DB">
        <w:rPr>
          <w:rFonts w:ascii="Calibri" w:hAnsi="Calibri" w:cs="Calibri"/>
          <w:b/>
          <w:bCs/>
          <w:color w:val="000000"/>
          <w:szCs w:val="22"/>
          <w:lang w:eastAsia="hr-HR"/>
        </w:rPr>
        <w:t>. godine</w:t>
      </w:r>
    </w:p>
    <w:tbl>
      <w:tblPr>
        <w:tblW w:w="5000" w:type="pct"/>
        <w:tblLook w:val="04A0" w:firstRow="1" w:lastRow="0" w:firstColumn="1" w:lastColumn="0" w:noHBand="0" w:noVBand="1"/>
      </w:tblPr>
      <w:tblGrid>
        <w:gridCol w:w="2873"/>
        <w:gridCol w:w="1778"/>
        <w:gridCol w:w="1417"/>
        <w:gridCol w:w="1384"/>
        <w:gridCol w:w="1555"/>
      </w:tblGrid>
      <w:tr w:rsidR="00D90ECD" w:rsidRPr="00D90ECD" w:rsidTr="00310607">
        <w:trPr>
          <w:trHeight w:val="480"/>
        </w:trPr>
        <w:tc>
          <w:tcPr>
            <w:tcW w:w="1232" w:type="pct"/>
            <w:tcBorders>
              <w:top w:val="single" w:sz="4" w:space="0" w:color="auto"/>
              <w:left w:val="single" w:sz="8" w:space="0" w:color="auto"/>
              <w:bottom w:val="single" w:sz="4" w:space="0" w:color="auto"/>
              <w:right w:val="single" w:sz="4" w:space="0" w:color="auto"/>
            </w:tcBorders>
            <w:shd w:val="clear" w:color="000000" w:fill="D0CECE"/>
            <w:noWrap/>
            <w:vAlign w:val="center"/>
            <w:hideMark/>
          </w:tcPr>
          <w:p w:rsidR="00D90ECD" w:rsidRPr="00D90ECD" w:rsidRDefault="00D90ECD" w:rsidP="00D90ECD">
            <w:pPr>
              <w:jc w:val="center"/>
              <w:rPr>
                <w:rFonts w:cs="Arial"/>
                <w:b/>
                <w:bCs/>
                <w:sz w:val="20"/>
                <w:lang w:eastAsia="hr-HR"/>
              </w:rPr>
            </w:pPr>
            <w:r w:rsidRPr="00D90ECD">
              <w:rPr>
                <w:rFonts w:cs="Arial"/>
                <w:b/>
                <w:bCs/>
                <w:sz w:val="20"/>
                <w:lang w:eastAsia="hr-HR"/>
              </w:rPr>
              <w:t>KORISNIK</w:t>
            </w:r>
          </w:p>
        </w:tc>
        <w:tc>
          <w:tcPr>
            <w:tcW w:w="1078" w:type="pct"/>
            <w:tcBorders>
              <w:top w:val="single" w:sz="4" w:space="0" w:color="auto"/>
              <w:left w:val="nil"/>
              <w:bottom w:val="single" w:sz="4" w:space="0" w:color="auto"/>
              <w:right w:val="single" w:sz="4" w:space="0" w:color="auto"/>
            </w:tcBorders>
            <w:shd w:val="clear" w:color="000000" w:fill="D0CECE"/>
            <w:vAlign w:val="center"/>
            <w:hideMark/>
          </w:tcPr>
          <w:p w:rsidR="00D90ECD" w:rsidRPr="00D90ECD" w:rsidRDefault="00D90ECD" w:rsidP="00D90ECD">
            <w:pPr>
              <w:jc w:val="center"/>
              <w:rPr>
                <w:rFonts w:cs="Arial"/>
                <w:b/>
                <w:bCs/>
                <w:sz w:val="20"/>
                <w:lang w:eastAsia="hr-HR"/>
              </w:rPr>
            </w:pPr>
            <w:r w:rsidRPr="00D90ECD">
              <w:rPr>
                <w:rFonts w:cs="Arial"/>
                <w:b/>
                <w:bCs/>
                <w:sz w:val="20"/>
                <w:lang w:eastAsia="hr-HR"/>
              </w:rPr>
              <w:t>Početno stanje 01.01.2023</w:t>
            </w:r>
          </w:p>
        </w:tc>
        <w:tc>
          <w:tcPr>
            <w:tcW w:w="800" w:type="pct"/>
            <w:tcBorders>
              <w:top w:val="single" w:sz="4" w:space="0" w:color="auto"/>
              <w:left w:val="nil"/>
              <w:bottom w:val="single" w:sz="4" w:space="0" w:color="auto"/>
              <w:right w:val="single" w:sz="4" w:space="0" w:color="auto"/>
            </w:tcBorders>
            <w:shd w:val="clear" w:color="000000" w:fill="D0CECE"/>
            <w:vAlign w:val="center"/>
            <w:hideMark/>
          </w:tcPr>
          <w:p w:rsidR="00D90ECD" w:rsidRPr="00D90ECD" w:rsidRDefault="00D90ECD" w:rsidP="00D90ECD">
            <w:pPr>
              <w:jc w:val="center"/>
              <w:rPr>
                <w:rFonts w:cs="Arial"/>
                <w:b/>
                <w:bCs/>
                <w:sz w:val="20"/>
                <w:lang w:eastAsia="hr-HR"/>
              </w:rPr>
            </w:pPr>
            <w:r w:rsidRPr="00D90ECD">
              <w:rPr>
                <w:rFonts w:cs="Arial"/>
                <w:b/>
                <w:bCs/>
                <w:sz w:val="20"/>
                <w:lang w:eastAsia="hr-HR"/>
              </w:rPr>
              <w:t>ZADUŽENJE</w:t>
            </w:r>
          </w:p>
        </w:tc>
        <w:tc>
          <w:tcPr>
            <w:tcW w:w="903" w:type="pct"/>
            <w:tcBorders>
              <w:top w:val="single" w:sz="4" w:space="0" w:color="auto"/>
              <w:left w:val="nil"/>
              <w:bottom w:val="single" w:sz="4" w:space="0" w:color="auto"/>
              <w:right w:val="single" w:sz="4" w:space="0" w:color="auto"/>
            </w:tcBorders>
            <w:shd w:val="clear" w:color="000000" w:fill="D0CECE"/>
            <w:noWrap/>
            <w:vAlign w:val="center"/>
            <w:hideMark/>
          </w:tcPr>
          <w:p w:rsidR="00D90ECD" w:rsidRPr="00D90ECD" w:rsidRDefault="00D90ECD" w:rsidP="00D90ECD">
            <w:pPr>
              <w:jc w:val="center"/>
              <w:rPr>
                <w:rFonts w:cs="Arial"/>
                <w:b/>
                <w:bCs/>
                <w:color w:val="000000"/>
                <w:sz w:val="20"/>
                <w:lang w:eastAsia="hr-HR"/>
              </w:rPr>
            </w:pPr>
            <w:r w:rsidRPr="00D90ECD">
              <w:rPr>
                <w:rFonts w:cs="Arial"/>
                <w:b/>
                <w:bCs/>
                <w:color w:val="000000"/>
                <w:sz w:val="20"/>
                <w:lang w:eastAsia="hr-HR"/>
              </w:rPr>
              <w:t>OTPLATA</w:t>
            </w:r>
          </w:p>
        </w:tc>
        <w:tc>
          <w:tcPr>
            <w:tcW w:w="987" w:type="pct"/>
            <w:tcBorders>
              <w:top w:val="single" w:sz="4" w:space="0" w:color="auto"/>
              <w:left w:val="nil"/>
              <w:bottom w:val="single" w:sz="4" w:space="0" w:color="auto"/>
              <w:right w:val="single" w:sz="8" w:space="0" w:color="auto"/>
            </w:tcBorders>
            <w:shd w:val="clear" w:color="000000" w:fill="D0CECE"/>
            <w:vAlign w:val="bottom"/>
            <w:hideMark/>
          </w:tcPr>
          <w:p w:rsidR="00D90ECD" w:rsidRPr="00D90ECD" w:rsidRDefault="00D90ECD" w:rsidP="00D90ECD">
            <w:pPr>
              <w:jc w:val="center"/>
              <w:rPr>
                <w:rFonts w:cs="Arial"/>
                <w:b/>
                <w:bCs/>
                <w:color w:val="000000"/>
                <w:sz w:val="20"/>
                <w:lang w:eastAsia="hr-HR"/>
              </w:rPr>
            </w:pPr>
            <w:r w:rsidRPr="00D90ECD">
              <w:rPr>
                <w:rFonts w:cs="Arial"/>
                <w:b/>
                <w:bCs/>
                <w:color w:val="000000"/>
                <w:sz w:val="20"/>
                <w:lang w:eastAsia="hr-HR"/>
              </w:rPr>
              <w:t>Saldo na dan 31.12.2023.</w:t>
            </w:r>
          </w:p>
        </w:tc>
      </w:tr>
      <w:tr w:rsidR="00D90ECD" w:rsidRPr="00D90ECD" w:rsidTr="00310607">
        <w:trPr>
          <w:trHeight w:val="300"/>
        </w:trPr>
        <w:tc>
          <w:tcPr>
            <w:tcW w:w="1232" w:type="pct"/>
            <w:tcBorders>
              <w:top w:val="nil"/>
              <w:left w:val="single" w:sz="8" w:space="0" w:color="auto"/>
              <w:bottom w:val="single" w:sz="4" w:space="0" w:color="auto"/>
              <w:right w:val="single" w:sz="4" w:space="0" w:color="auto"/>
            </w:tcBorders>
            <w:shd w:val="clear" w:color="auto" w:fill="auto"/>
            <w:noWrap/>
            <w:vAlign w:val="bottom"/>
            <w:hideMark/>
          </w:tcPr>
          <w:p w:rsidR="00D90ECD" w:rsidRPr="00D90ECD" w:rsidRDefault="00D90ECD" w:rsidP="00D90ECD">
            <w:pPr>
              <w:jc w:val="left"/>
              <w:rPr>
                <w:rFonts w:cs="Arial"/>
                <w:sz w:val="20"/>
                <w:lang w:eastAsia="hr-HR"/>
              </w:rPr>
            </w:pPr>
            <w:r w:rsidRPr="00D90ECD">
              <w:rPr>
                <w:rFonts w:cs="Arial"/>
                <w:sz w:val="20"/>
                <w:lang w:eastAsia="hr-HR"/>
              </w:rPr>
              <w:t>Opća bolnica Pula</w:t>
            </w:r>
          </w:p>
        </w:tc>
        <w:tc>
          <w:tcPr>
            <w:tcW w:w="1078" w:type="pct"/>
            <w:tcBorders>
              <w:top w:val="nil"/>
              <w:left w:val="nil"/>
              <w:bottom w:val="single" w:sz="4" w:space="0" w:color="auto"/>
              <w:right w:val="single" w:sz="4" w:space="0" w:color="auto"/>
            </w:tcBorders>
            <w:shd w:val="clear" w:color="000000" w:fill="FFFFFF"/>
            <w:noWrap/>
            <w:vAlign w:val="bottom"/>
            <w:hideMark/>
          </w:tcPr>
          <w:p w:rsidR="00D90ECD" w:rsidRPr="00D90ECD" w:rsidRDefault="00D90ECD" w:rsidP="00D90ECD">
            <w:pPr>
              <w:jc w:val="right"/>
              <w:rPr>
                <w:rFonts w:cs="Arial"/>
                <w:sz w:val="20"/>
                <w:lang w:eastAsia="hr-HR"/>
              </w:rPr>
            </w:pPr>
            <w:r w:rsidRPr="00D90ECD">
              <w:rPr>
                <w:rFonts w:cs="Arial"/>
                <w:sz w:val="20"/>
                <w:lang w:eastAsia="hr-HR"/>
              </w:rPr>
              <w:t>6.994.375,20</w:t>
            </w:r>
          </w:p>
        </w:tc>
        <w:tc>
          <w:tcPr>
            <w:tcW w:w="800"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sz w:val="20"/>
                <w:lang w:eastAsia="hr-HR"/>
              </w:rPr>
            </w:pPr>
            <w:r w:rsidRPr="00D90ECD">
              <w:rPr>
                <w:rFonts w:cs="Arial"/>
                <w:sz w:val="20"/>
                <w:lang w:eastAsia="hr-HR"/>
              </w:rPr>
              <w:t>0,00</w:t>
            </w:r>
          </w:p>
        </w:tc>
        <w:tc>
          <w:tcPr>
            <w:tcW w:w="903"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675.044,94</w:t>
            </w:r>
          </w:p>
        </w:tc>
        <w:tc>
          <w:tcPr>
            <w:tcW w:w="987" w:type="pct"/>
            <w:tcBorders>
              <w:top w:val="nil"/>
              <w:left w:val="nil"/>
              <w:bottom w:val="single" w:sz="4" w:space="0" w:color="auto"/>
              <w:right w:val="single" w:sz="8"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6.319.330,26</w:t>
            </w:r>
          </w:p>
        </w:tc>
      </w:tr>
      <w:tr w:rsidR="00D90ECD" w:rsidRPr="00D90ECD" w:rsidTr="00310607">
        <w:trPr>
          <w:trHeight w:val="300"/>
        </w:trPr>
        <w:tc>
          <w:tcPr>
            <w:tcW w:w="1232" w:type="pct"/>
            <w:tcBorders>
              <w:top w:val="nil"/>
              <w:left w:val="single" w:sz="8" w:space="0" w:color="auto"/>
              <w:bottom w:val="single" w:sz="4" w:space="0" w:color="auto"/>
              <w:right w:val="single" w:sz="4" w:space="0" w:color="auto"/>
            </w:tcBorders>
            <w:shd w:val="clear" w:color="auto" w:fill="auto"/>
            <w:noWrap/>
            <w:vAlign w:val="bottom"/>
            <w:hideMark/>
          </w:tcPr>
          <w:p w:rsidR="00D90ECD" w:rsidRPr="00D90ECD" w:rsidRDefault="00D90ECD" w:rsidP="00D90ECD">
            <w:pPr>
              <w:jc w:val="left"/>
              <w:rPr>
                <w:rFonts w:cs="Arial"/>
                <w:sz w:val="20"/>
                <w:lang w:eastAsia="hr-HR"/>
              </w:rPr>
            </w:pPr>
            <w:r w:rsidRPr="00D90ECD">
              <w:rPr>
                <w:rFonts w:cs="Arial"/>
                <w:sz w:val="20"/>
                <w:lang w:eastAsia="hr-HR"/>
              </w:rPr>
              <w:t>Opća bolnica Pula</w:t>
            </w:r>
          </w:p>
        </w:tc>
        <w:tc>
          <w:tcPr>
            <w:tcW w:w="1078" w:type="pct"/>
            <w:tcBorders>
              <w:top w:val="nil"/>
              <w:left w:val="nil"/>
              <w:bottom w:val="single" w:sz="4" w:space="0" w:color="auto"/>
              <w:right w:val="single" w:sz="4" w:space="0" w:color="auto"/>
            </w:tcBorders>
            <w:shd w:val="clear" w:color="000000" w:fill="FFFFFF"/>
            <w:noWrap/>
            <w:vAlign w:val="bottom"/>
            <w:hideMark/>
          </w:tcPr>
          <w:p w:rsidR="00D90ECD" w:rsidRPr="00D90ECD" w:rsidRDefault="00D90ECD" w:rsidP="00D90ECD">
            <w:pPr>
              <w:jc w:val="right"/>
              <w:rPr>
                <w:rFonts w:cs="Arial"/>
                <w:sz w:val="20"/>
                <w:lang w:eastAsia="hr-HR"/>
              </w:rPr>
            </w:pPr>
            <w:r w:rsidRPr="00D90ECD">
              <w:rPr>
                <w:rFonts w:cs="Arial"/>
                <w:sz w:val="20"/>
                <w:lang w:eastAsia="hr-HR"/>
              </w:rPr>
              <w:t>9.124.693,08</w:t>
            </w:r>
          </w:p>
        </w:tc>
        <w:tc>
          <w:tcPr>
            <w:tcW w:w="800"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sz w:val="20"/>
                <w:lang w:eastAsia="hr-HR"/>
              </w:rPr>
            </w:pPr>
            <w:r w:rsidRPr="00D90ECD">
              <w:rPr>
                <w:rFonts w:cs="Arial"/>
                <w:sz w:val="20"/>
                <w:lang w:eastAsia="hr-HR"/>
              </w:rPr>
              <w:t>0,00</w:t>
            </w:r>
          </w:p>
        </w:tc>
        <w:tc>
          <w:tcPr>
            <w:tcW w:w="903"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553.011,70</w:t>
            </w:r>
          </w:p>
        </w:tc>
        <w:tc>
          <w:tcPr>
            <w:tcW w:w="987" w:type="pct"/>
            <w:tcBorders>
              <w:top w:val="nil"/>
              <w:left w:val="nil"/>
              <w:bottom w:val="single" w:sz="4" w:space="0" w:color="auto"/>
              <w:right w:val="single" w:sz="8"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8.571.681,38</w:t>
            </w:r>
          </w:p>
        </w:tc>
      </w:tr>
      <w:tr w:rsidR="00D90ECD" w:rsidRPr="00D90ECD" w:rsidTr="00310607">
        <w:trPr>
          <w:trHeight w:val="300"/>
        </w:trPr>
        <w:tc>
          <w:tcPr>
            <w:tcW w:w="1232" w:type="pct"/>
            <w:tcBorders>
              <w:top w:val="nil"/>
              <w:left w:val="single" w:sz="8" w:space="0" w:color="auto"/>
              <w:bottom w:val="single" w:sz="4" w:space="0" w:color="auto"/>
              <w:right w:val="single" w:sz="4" w:space="0" w:color="auto"/>
            </w:tcBorders>
            <w:shd w:val="clear" w:color="auto" w:fill="auto"/>
            <w:noWrap/>
            <w:vAlign w:val="bottom"/>
            <w:hideMark/>
          </w:tcPr>
          <w:p w:rsidR="00D90ECD" w:rsidRPr="00D90ECD" w:rsidRDefault="00D90ECD" w:rsidP="00D90ECD">
            <w:pPr>
              <w:jc w:val="left"/>
              <w:rPr>
                <w:rFonts w:cs="Arial"/>
                <w:sz w:val="20"/>
                <w:lang w:eastAsia="hr-HR"/>
              </w:rPr>
            </w:pPr>
            <w:r w:rsidRPr="00D90ECD">
              <w:rPr>
                <w:rFonts w:cs="Arial"/>
                <w:sz w:val="20"/>
                <w:lang w:eastAsia="hr-HR"/>
              </w:rPr>
              <w:t>Opća bolnica Pula</w:t>
            </w:r>
          </w:p>
        </w:tc>
        <w:tc>
          <w:tcPr>
            <w:tcW w:w="1078" w:type="pct"/>
            <w:tcBorders>
              <w:top w:val="nil"/>
              <w:left w:val="nil"/>
              <w:bottom w:val="single" w:sz="4" w:space="0" w:color="auto"/>
              <w:right w:val="single" w:sz="4" w:space="0" w:color="auto"/>
            </w:tcBorders>
            <w:shd w:val="clear" w:color="000000" w:fill="FFFFFF"/>
            <w:noWrap/>
            <w:vAlign w:val="bottom"/>
            <w:hideMark/>
          </w:tcPr>
          <w:p w:rsidR="00D90ECD" w:rsidRPr="00D90ECD" w:rsidRDefault="00D90ECD" w:rsidP="00D90ECD">
            <w:pPr>
              <w:jc w:val="right"/>
              <w:rPr>
                <w:rFonts w:cs="Arial"/>
                <w:sz w:val="20"/>
                <w:lang w:eastAsia="hr-HR"/>
              </w:rPr>
            </w:pPr>
            <w:r w:rsidRPr="00D90ECD">
              <w:rPr>
                <w:rFonts w:cs="Arial"/>
                <w:sz w:val="20"/>
                <w:lang w:eastAsia="hr-HR"/>
              </w:rPr>
              <w:t>4.560.879,09</w:t>
            </w:r>
          </w:p>
        </w:tc>
        <w:tc>
          <w:tcPr>
            <w:tcW w:w="800"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sz w:val="20"/>
                <w:lang w:eastAsia="hr-HR"/>
              </w:rPr>
            </w:pPr>
            <w:r w:rsidRPr="00D90ECD">
              <w:rPr>
                <w:rFonts w:cs="Arial"/>
                <w:sz w:val="20"/>
                <w:lang w:eastAsia="hr-HR"/>
              </w:rPr>
              <w:t>0,00</w:t>
            </w:r>
          </w:p>
        </w:tc>
        <w:tc>
          <w:tcPr>
            <w:tcW w:w="903"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333.000,71</w:t>
            </w:r>
          </w:p>
        </w:tc>
        <w:tc>
          <w:tcPr>
            <w:tcW w:w="987" w:type="pct"/>
            <w:tcBorders>
              <w:top w:val="nil"/>
              <w:left w:val="nil"/>
              <w:bottom w:val="single" w:sz="4" w:space="0" w:color="auto"/>
              <w:right w:val="single" w:sz="8"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4.227.878,38</w:t>
            </w:r>
          </w:p>
        </w:tc>
      </w:tr>
      <w:tr w:rsidR="00D90ECD" w:rsidRPr="00D90ECD" w:rsidTr="00310607">
        <w:trPr>
          <w:trHeight w:val="300"/>
        </w:trPr>
        <w:tc>
          <w:tcPr>
            <w:tcW w:w="1232" w:type="pct"/>
            <w:tcBorders>
              <w:top w:val="nil"/>
              <w:left w:val="single" w:sz="8" w:space="0" w:color="auto"/>
              <w:bottom w:val="single" w:sz="4" w:space="0" w:color="auto"/>
              <w:right w:val="single" w:sz="4" w:space="0" w:color="auto"/>
            </w:tcBorders>
            <w:shd w:val="clear" w:color="auto" w:fill="auto"/>
            <w:noWrap/>
            <w:vAlign w:val="bottom"/>
            <w:hideMark/>
          </w:tcPr>
          <w:p w:rsidR="00D90ECD" w:rsidRPr="00D90ECD" w:rsidRDefault="00D90ECD" w:rsidP="00D90ECD">
            <w:pPr>
              <w:jc w:val="left"/>
              <w:rPr>
                <w:rFonts w:cs="Arial"/>
                <w:sz w:val="20"/>
                <w:lang w:eastAsia="hr-HR"/>
              </w:rPr>
            </w:pPr>
            <w:r w:rsidRPr="00D90ECD">
              <w:rPr>
                <w:rFonts w:cs="Arial"/>
                <w:sz w:val="20"/>
                <w:lang w:eastAsia="hr-HR"/>
              </w:rPr>
              <w:t xml:space="preserve">Lučka uprava </w:t>
            </w:r>
            <w:proofErr w:type="spellStart"/>
            <w:r w:rsidRPr="00D90ECD">
              <w:rPr>
                <w:rFonts w:cs="Arial"/>
                <w:sz w:val="20"/>
                <w:lang w:eastAsia="hr-HR"/>
              </w:rPr>
              <w:t>Rabac</w:t>
            </w:r>
            <w:proofErr w:type="spellEnd"/>
          </w:p>
        </w:tc>
        <w:tc>
          <w:tcPr>
            <w:tcW w:w="1078" w:type="pct"/>
            <w:tcBorders>
              <w:top w:val="nil"/>
              <w:left w:val="nil"/>
              <w:bottom w:val="single" w:sz="4" w:space="0" w:color="auto"/>
              <w:right w:val="single" w:sz="4" w:space="0" w:color="auto"/>
            </w:tcBorders>
            <w:shd w:val="clear" w:color="000000" w:fill="FFFFFF"/>
            <w:noWrap/>
            <w:vAlign w:val="bottom"/>
            <w:hideMark/>
          </w:tcPr>
          <w:p w:rsidR="00D90ECD" w:rsidRPr="00D90ECD" w:rsidRDefault="00D90ECD" w:rsidP="00D90ECD">
            <w:pPr>
              <w:jc w:val="right"/>
              <w:rPr>
                <w:rFonts w:cs="Arial"/>
                <w:sz w:val="20"/>
                <w:lang w:eastAsia="hr-HR"/>
              </w:rPr>
            </w:pPr>
            <w:r w:rsidRPr="00D90ECD">
              <w:rPr>
                <w:rFonts w:cs="Arial"/>
                <w:sz w:val="20"/>
                <w:lang w:eastAsia="hr-HR"/>
              </w:rPr>
              <w:t>244.369,40</w:t>
            </w:r>
          </w:p>
        </w:tc>
        <w:tc>
          <w:tcPr>
            <w:tcW w:w="800"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sz w:val="20"/>
                <w:lang w:eastAsia="hr-HR"/>
              </w:rPr>
            </w:pPr>
            <w:r w:rsidRPr="00D90ECD">
              <w:rPr>
                <w:rFonts w:cs="Arial"/>
                <w:sz w:val="20"/>
                <w:lang w:eastAsia="hr-HR"/>
              </w:rPr>
              <w:t>0,00</w:t>
            </w:r>
          </w:p>
        </w:tc>
        <w:tc>
          <w:tcPr>
            <w:tcW w:w="903"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37.118,75</w:t>
            </w:r>
          </w:p>
        </w:tc>
        <w:tc>
          <w:tcPr>
            <w:tcW w:w="987" w:type="pct"/>
            <w:tcBorders>
              <w:top w:val="nil"/>
              <w:left w:val="nil"/>
              <w:bottom w:val="single" w:sz="4" w:space="0" w:color="auto"/>
              <w:right w:val="single" w:sz="8"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207.250,65</w:t>
            </w:r>
          </w:p>
        </w:tc>
      </w:tr>
      <w:tr w:rsidR="00D90ECD" w:rsidRPr="00D90ECD" w:rsidTr="00310607">
        <w:trPr>
          <w:trHeight w:val="300"/>
        </w:trPr>
        <w:tc>
          <w:tcPr>
            <w:tcW w:w="1232" w:type="pct"/>
            <w:tcBorders>
              <w:top w:val="nil"/>
              <w:left w:val="single" w:sz="8" w:space="0" w:color="auto"/>
              <w:bottom w:val="single" w:sz="4" w:space="0" w:color="auto"/>
              <w:right w:val="single" w:sz="4" w:space="0" w:color="auto"/>
            </w:tcBorders>
            <w:shd w:val="clear" w:color="auto" w:fill="auto"/>
            <w:noWrap/>
            <w:vAlign w:val="bottom"/>
            <w:hideMark/>
          </w:tcPr>
          <w:p w:rsidR="00D90ECD" w:rsidRPr="00D90ECD" w:rsidRDefault="00D90ECD" w:rsidP="00D90ECD">
            <w:pPr>
              <w:jc w:val="left"/>
              <w:rPr>
                <w:rFonts w:cs="Arial"/>
                <w:sz w:val="20"/>
                <w:lang w:eastAsia="hr-HR"/>
              </w:rPr>
            </w:pPr>
            <w:r w:rsidRPr="00D90ECD">
              <w:rPr>
                <w:rFonts w:cs="Arial"/>
                <w:sz w:val="20"/>
                <w:lang w:eastAsia="hr-HR"/>
              </w:rPr>
              <w:t>Plinara</w:t>
            </w:r>
          </w:p>
        </w:tc>
        <w:tc>
          <w:tcPr>
            <w:tcW w:w="1078" w:type="pct"/>
            <w:tcBorders>
              <w:top w:val="nil"/>
              <w:left w:val="nil"/>
              <w:bottom w:val="single" w:sz="4" w:space="0" w:color="auto"/>
              <w:right w:val="single" w:sz="4" w:space="0" w:color="auto"/>
            </w:tcBorders>
            <w:shd w:val="clear" w:color="000000" w:fill="FFFFFF"/>
            <w:noWrap/>
            <w:vAlign w:val="bottom"/>
            <w:hideMark/>
          </w:tcPr>
          <w:p w:rsidR="00D90ECD" w:rsidRPr="00D90ECD" w:rsidRDefault="00D90ECD" w:rsidP="00D90ECD">
            <w:pPr>
              <w:jc w:val="right"/>
              <w:rPr>
                <w:rFonts w:cs="Arial"/>
                <w:sz w:val="20"/>
                <w:lang w:eastAsia="hr-HR"/>
              </w:rPr>
            </w:pPr>
            <w:r w:rsidRPr="00D90ECD">
              <w:rPr>
                <w:rFonts w:cs="Arial"/>
                <w:sz w:val="20"/>
                <w:lang w:eastAsia="hr-HR"/>
              </w:rPr>
              <w:t>763.156,15</w:t>
            </w:r>
          </w:p>
        </w:tc>
        <w:tc>
          <w:tcPr>
            <w:tcW w:w="800"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sz w:val="20"/>
                <w:lang w:eastAsia="hr-HR"/>
              </w:rPr>
            </w:pPr>
            <w:r w:rsidRPr="00D90ECD">
              <w:rPr>
                <w:rFonts w:cs="Arial"/>
                <w:sz w:val="20"/>
                <w:lang w:eastAsia="hr-HR"/>
              </w:rPr>
              <w:t>0,00</w:t>
            </w:r>
          </w:p>
        </w:tc>
        <w:tc>
          <w:tcPr>
            <w:tcW w:w="903"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127.192,69</w:t>
            </w:r>
          </w:p>
        </w:tc>
        <w:tc>
          <w:tcPr>
            <w:tcW w:w="987" w:type="pct"/>
            <w:tcBorders>
              <w:top w:val="nil"/>
              <w:left w:val="nil"/>
              <w:bottom w:val="single" w:sz="4" w:space="0" w:color="auto"/>
              <w:right w:val="single" w:sz="8"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635.963,46</w:t>
            </w:r>
          </w:p>
        </w:tc>
      </w:tr>
      <w:tr w:rsidR="00D90ECD" w:rsidRPr="00D90ECD" w:rsidTr="00310607">
        <w:trPr>
          <w:trHeight w:val="300"/>
        </w:trPr>
        <w:tc>
          <w:tcPr>
            <w:tcW w:w="1232" w:type="pct"/>
            <w:tcBorders>
              <w:top w:val="nil"/>
              <w:left w:val="single" w:sz="8" w:space="0" w:color="auto"/>
              <w:bottom w:val="single" w:sz="4" w:space="0" w:color="auto"/>
              <w:right w:val="single" w:sz="4" w:space="0" w:color="auto"/>
            </w:tcBorders>
            <w:shd w:val="clear" w:color="auto" w:fill="auto"/>
            <w:noWrap/>
            <w:vAlign w:val="bottom"/>
            <w:hideMark/>
          </w:tcPr>
          <w:p w:rsidR="00D90ECD" w:rsidRPr="00D90ECD" w:rsidRDefault="00D90ECD" w:rsidP="00D90ECD">
            <w:pPr>
              <w:jc w:val="left"/>
              <w:rPr>
                <w:rFonts w:cs="Arial"/>
                <w:sz w:val="20"/>
                <w:lang w:eastAsia="hr-HR"/>
              </w:rPr>
            </w:pPr>
            <w:r w:rsidRPr="00D90ECD">
              <w:rPr>
                <w:rFonts w:cs="Arial"/>
                <w:sz w:val="20"/>
                <w:lang w:eastAsia="hr-HR"/>
              </w:rPr>
              <w:t>Plinara</w:t>
            </w:r>
          </w:p>
        </w:tc>
        <w:tc>
          <w:tcPr>
            <w:tcW w:w="1078" w:type="pct"/>
            <w:tcBorders>
              <w:top w:val="nil"/>
              <w:left w:val="nil"/>
              <w:bottom w:val="single" w:sz="4" w:space="0" w:color="auto"/>
              <w:right w:val="single" w:sz="4" w:space="0" w:color="auto"/>
            </w:tcBorders>
            <w:shd w:val="clear" w:color="000000" w:fill="FFFFFF"/>
            <w:noWrap/>
            <w:vAlign w:val="bottom"/>
            <w:hideMark/>
          </w:tcPr>
          <w:p w:rsidR="00D90ECD" w:rsidRPr="00D90ECD" w:rsidRDefault="00D90ECD" w:rsidP="00D90ECD">
            <w:pPr>
              <w:jc w:val="right"/>
              <w:rPr>
                <w:rFonts w:cs="Arial"/>
                <w:sz w:val="20"/>
                <w:lang w:eastAsia="hr-HR"/>
              </w:rPr>
            </w:pPr>
            <w:r w:rsidRPr="00D90ECD">
              <w:rPr>
                <w:rFonts w:cs="Arial"/>
                <w:sz w:val="20"/>
                <w:lang w:eastAsia="hr-HR"/>
              </w:rPr>
              <w:t>549.841,79</w:t>
            </w:r>
          </w:p>
        </w:tc>
        <w:tc>
          <w:tcPr>
            <w:tcW w:w="800"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sz w:val="20"/>
                <w:lang w:eastAsia="hr-HR"/>
              </w:rPr>
            </w:pPr>
            <w:r w:rsidRPr="00D90ECD">
              <w:rPr>
                <w:rFonts w:cs="Arial"/>
                <w:sz w:val="20"/>
                <w:lang w:eastAsia="hr-HR"/>
              </w:rPr>
              <w:t>0,00</w:t>
            </w:r>
          </w:p>
        </w:tc>
        <w:tc>
          <w:tcPr>
            <w:tcW w:w="903"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67.784,24</w:t>
            </w:r>
          </w:p>
        </w:tc>
        <w:tc>
          <w:tcPr>
            <w:tcW w:w="987" w:type="pct"/>
            <w:tcBorders>
              <w:top w:val="nil"/>
              <w:left w:val="nil"/>
              <w:bottom w:val="single" w:sz="4" w:space="0" w:color="auto"/>
              <w:right w:val="single" w:sz="8"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482.057,55</w:t>
            </w:r>
          </w:p>
        </w:tc>
      </w:tr>
      <w:tr w:rsidR="00D90ECD" w:rsidRPr="00D90ECD" w:rsidTr="00310607">
        <w:trPr>
          <w:trHeight w:val="300"/>
        </w:trPr>
        <w:tc>
          <w:tcPr>
            <w:tcW w:w="1232" w:type="pct"/>
            <w:tcBorders>
              <w:top w:val="nil"/>
              <w:left w:val="single" w:sz="8" w:space="0" w:color="auto"/>
              <w:bottom w:val="single" w:sz="4" w:space="0" w:color="auto"/>
              <w:right w:val="single" w:sz="4" w:space="0" w:color="auto"/>
            </w:tcBorders>
            <w:shd w:val="clear" w:color="auto" w:fill="auto"/>
            <w:noWrap/>
            <w:vAlign w:val="bottom"/>
            <w:hideMark/>
          </w:tcPr>
          <w:p w:rsidR="00D90ECD" w:rsidRPr="00D90ECD" w:rsidRDefault="00D90ECD" w:rsidP="00D90ECD">
            <w:pPr>
              <w:jc w:val="left"/>
              <w:rPr>
                <w:rFonts w:cs="Arial"/>
                <w:sz w:val="20"/>
                <w:lang w:eastAsia="hr-HR"/>
              </w:rPr>
            </w:pPr>
            <w:r w:rsidRPr="00D90ECD">
              <w:rPr>
                <w:rFonts w:cs="Arial"/>
                <w:sz w:val="20"/>
                <w:lang w:eastAsia="hr-HR"/>
              </w:rPr>
              <w:t>Lučka uprava Umag-Novigrad</w:t>
            </w:r>
          </w:p>
        </w:tc>
        <w:tc>
          <w:tcPr>
            <w:tcW w:w="1078" w:type="pct"/>
            <w:tcBorders>
              <w:top w:val="nil"/>
              <w:left w:val="nil"/>
              <w:bottom w:val="single" w:sz="4" w:space="0" w:color="auto"/>
              <w:right w:val="single" w:sz="4" w:space="0" w:color="auto"/>
            </w:tcBorders>
            <w:shd w:val="clear" w:color="000000" w:fill="FFFFFF"/>
            <w:noWrap/>
            <w:vAlign w:val="bottom"/>
            <w:hideMark/>
          </w:tcPr>
          <w:p w:rsidR="00D90ECD" w:rsidRPr="00D90ECD" w:rsidRDefault="00D90ECD" w:rsidP="00D90ECD">
            <w:pPr>
              <w:jc w:val="right"/>
              <w:rPr>
                <w:rFonts w:cs="Arial"/>
                <w:sz w:val="20"/>
                <w:lang w:eastAsia="hr-HR"/>
              </w:rPr>
            </w:pPr>
            <w:r w:rsidRPr="00D90ECD">
              <w:rPr>
                <w:rFonts w:cs="Arial"/>
                <w:sz w:val="20"/>
                <w:lang w:eastAsia="hr-HR"/>
              </w:rPr>
              <w:t>608.312,87</w:t>
            </w:r>
          </w:p>
        </w:tc>
        <w:tc>
          <w:tcPr>
            <w:tcW w:w="800"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sz w:val="20"/>
                <w:lang w:eastAsia="hr-HR"/>
              </w:rPr>
            </w:pPr>
            <w:r w:rsidRPr="00D90ECD">
              <w:rPr>
                <w:rFonts w:cs="Arial"/>
                <w:sz w:val="20"/>
                <w:lang w:eastAsia="hr-HR"/>
              </w:rPr>
              <w:t>0,00</w:t>
            </w:r>
          </w:p>
        </w:tc>
        <w:tc>
          <w:tcPr>
            <w:tcW w:w="903"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55.301,16</w:t>
            </w:r>
          </w:p>
        </w:tc>
        <w:tc>
          <w:tcPr>
            <w:tcW w:w="987" w:type="pct"/>
            <w:tcBorders>
              <w:top w:val="nil"/>
              <w:left w:val="nil"/>
              <w:bottom w:val="single" w:sz="4" w:space="0" w:color="auto"/>
              <w:right w:val="single" w:sz="8"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553.011,71</w:t>
            </w:r>
          </w:p>
        </w:tc>
      </w:tr>
      <w:tr w:rsidR="00D90ECD" w:rsidRPr="00D90ECD" w:rsidTr="00310607">
        <w:trPr>
          <w:trHeight w:val="300"/>
        </w:trPr>
        <w:tc>
          <w:tcPr>
            <w:tcW w:w="1232" w:type="pct"/>
            <w:tcBorders>
              <w:top w:val="nil"/>
              <w:left w:val="single" w:sz="8" w:space="0" w:color="auto"/>
              <w:bottom w:val="single" w:sz="4" w:space="0" w:color="auto"/>
              <w:right w:val="single" w:sz="4" w:space="0" w:color="auto"/>
            </w:tcBorders>
            <w:shd w:val="clear" w:color="auto" w:fill="auto"/>
            <w:noWrap/>
            <w:vAlign w:val="bottom"/>
            <w:hideMark/>
          </w:tcPr>
          <w:p w:rsidR="00D90ECD" w:rsidRPr="00D90ECD" w:rsidRDefault="00D90ECD" w:rsidP="00D90ECD">
            <w:pPr>
              <w:jc w:val="left"/>
              <w:rPr>
                <w:rFonts w:cs="Arial"/>
                <w:sz w:val="20"/>
                <w:lang w:eastAsia="hr-HR"/>
              </w:rPr>
            </w:pPr>
            <w:r w:rsidRPr="00D90ECD">
              <w:rPr>
                <w:rFonts w:cs="Arial"/>
                <w:sz w:val="20"/>
                <w:lang w:eastAsia="hr-HR"/>
              </w:rPr>
              <w:t>Lučka uprava Poreč</w:t>
            </w:r>
          </w:p>
        </w:tc>
        <w:tc>
          <w:tcPr>
            <w:tcW w:w="1078" w:type="pct"/>
            <w:tcBorders>
              <w:top w:val="nil"/>
              <w:left w:val="nil"/>
              <w:bottom w:val="single" w:sz="4" w:space="0" w:color="auto"/>
              <w:right w:val="single" w:sz="4" w:space="0" w:color="auto"/>
            </w:tcBorders>
            <w:shd w:val="clear" w:color="000000" w:fill="FFFFFF"/>
            <w:noWrap/>
            <w:vAlign w:val="bottom"/>
            <w:hideMark/>
          </w:tcPr>
          <w:p w:rsidR="00D90ECD" w:rsidRPr="00D90ECD" w:rsidRDefault="00D90ECD" w:rsidP="00D90ECD">
            <w:pPr>
              <w:jc w:val="right"/>
              <w:rPr>
                <w:rFonts w:cs="Arial"/>
                <w:sz w:val="20"/>
                <w:lang w:eastAsia="hr-HR"/>
              </w:rPr>
            </w:pPr>
            <w:r w:rsidRPr="00D90ECD">
              <w:rPr>
                <w:rFonts w:cs="Arial"/>
                <w:sz w:val="20"/>
                <w:lang w:eastAsia="hr-HR"/>
              </w:rPr>
              <w:t>47.344,90</w:t>
            </w:r>
          </w:p>
        </w:tc>
        <w:tc>
          <w:tcPr>
            <w:tcW w:w="800"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sz w:val="20"/>
                <w:lang w:eastAsia="hr-HR"/>
              </w:rPr>
            </w:pPr>
            <w:r w:rsidRPr="00D90ECD">
              <w:rPr>
                <w:rFonts w:cs="Arial"/>
                <w:sz w:val="20"/>
                <w:lang w:eastAsia="hr-HR"/>
              </w:rPr>
              <w:t>0,00</w:t>
            </w:r>
          </w:p>
        </w:tc>
        <w:tc>
          <w:tcPr>
            <w:tcW w:w="903"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47.344,90</w:t>
            </w:r>
          </w:p>
        </w:tc>
        <w:tc>
          <w:tcPr>
            <w:tcW w:w="987" w:type="pct"/>
            <w:tcBorders>
              <w:top w:val="nil"/>
              <w:left w:val="nil"/>
              <w:bottom w:val="single" w:sz="4" w:space="0" w:color="auto"/>
              <w:right w:val="single" w:sz="8"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0,00</w:t>
            </w:r>
          </w:p>
        </w:tc>
      </w:tr>
      <w:tr w:rsidR="00D90ECD" w:rsidRPr="00D90ECD" w:rsidTr="00310607">
        <w:trPr>
          <w:trHeight w:val="300"/>
        </w:trPr>
        <w:tc>
          <w:tcPr>
            <w:tcW w:w="1232" w:type="pct"/>
            <w:tcBorders>
              <w:top w:val="nil"/>
              <w:left w:val="single" w:sz="8" w:space="0" w:color="auto"/>
              <w:bottom w:val="single" w:sz="4" w:space="0" w:color="auto"/>
              <w:right w:val="single" w:sz="4" w:space="0" w:color="auto"/>
            </w:tcBorders>
            <w:shd w:val="clear" w:color="auto" w:fill="auto"/>
            <w:noWrap/>
            <w:vAlign w:val="bottom"/>
            <w:hideMark/>
          </w:tcPr>
          <w:p w:rsidR="00D90ECD" w:rsidRPr="00D90ECD" w:rsidRDefault="00D90ECD" w:rsidP="00D90ECD">
            <w:pPr>
              <w:jc w:val="left"/>
              <w:rPr>
                <w:rFonts w:cs="Arial"/>
                <w:sz w:val="20"/>
                <w:lang w:eastAsia="hr-HR"/>
              </w:rPr>
            </w:pPr>
            <w:r w:rsidRPr="00D90ECD">
              <w:rPr>
                <w:rFonts w:cs="Arial"/>
                <w:sz w:val="20"/>
                <w:lang w:eastAsia="hr-HR"/>
              </w:rPr>
              <w:t>Istarski domovi zdravlja</w:t>
            </w:r>
          </w:p>
        </w:tc>
        <w:tc>
          <w:tcPr>
            <w:tcW w:w="1078" w:type="pct"/>
            <w:tcBorders>
              <w:top w:val="nil"/>
              <w:left w:val="nil"/>
              <w:bottom w:val="single" w:sz="4" w:space="0" w:color="auto"/>
              <w:right w:val="single" w:sz="4" w:space="0" w:color="auto"/>
            </w:tcBorders>
            <w:shd w:val="clear" w:color="000000" w:fill="FFFFFF"/>
            <w:noWrap/>
            <w:vAlign w:val="bottom"/>
            <w:hideMark/>
          </w:tcPr>
          <w:p w:rsidR="00D90ECD" w:rsidRPr="00D90ECD" w:rsidRDefault="00D90ECD" w:rsidP="00D90ECD">
            <w:pPr>
              <w:jc w:val="right"/>
              <w:rPr>
                <w:rFonts w:cs="Arial"/>
                <w:sz w:val="20"/>
                <w:lang w:eastAsia="hr-HR"/>
              </w:rPr>
            </w:pPr>
            <w:r w:rsidRPr="00D90ECD">
              <w:rPr>
                <w:rFonts w:cs="Arial"/>
                <w:sz w:val="20"/>
                <w:lang w:eastAsia="hr-HR"/>
              </w:rPr>
              <w:t>279.497,62</w:t>
            </w:r>
          </w:p>
        </w:tc>
        <w:tc>
          <w:tcPr>
            <w:tcW w:w="800"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sz w:val="20"/>
                <w:lang w:eastAsia="hr-HR"/>
              </w:rPr>
            </w:pPr>
            <w:r w:rsidRPr="00D90ECD">
              <w:rPr>
                <w:rFonts w:cs="Arial"/>
                <w:sz w:val="20"/>
                <w:lang w:eastAsia="hr-HR"/>
              </w:rPr>
              <w:t>0,00</w:t>
            </w:r>
          </w:p>
        </w:tc>
        <w:tc>
          <w:tcPr>
            <w:tcW w:w="903"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65.764,19</w:t>
            </w:r>
          </w:p>
        </w:tc>
        <w:tc>
          <w:tcPr>
            <w:tcW w:w="987" w:type="pct"/>
            <w:tcBorders>
              <w:top w:val="nil"/>
              <w:left w:val="nil"/>
              <w:bottom w:val="single" w:sz="4" w:space="0" w:color="auto"/>
              <w:right w:val="single" w:sz="8"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213.733,43</w:t>
            </w:r>
          </w:p>
        </w:tc>
      </w:tr>
      <w:tr w:rsidR="00D90ECD" w:rsidRPr="00D90ECD" w:rsidTr="00310607">
        <w:trPr>
          <w:trHeight w:val="300"/>
        </w:trPr>
        <w:tc>
          <w:tcPr>
            <w:tcW w:w="1232" w:type="pct"/>
            <w:tcBorders>
              <w:top w:val="nil"/>
              <w:left w:val="single" w:sz="8" w:space="0" w:color="auto"/>
              <w:bottom w:val="single" w:sz="4" w:space="0" w:color="auto"/>
              <w:right w:val="single" w:sz="4" w:space="0" w:color="auto"/>
            </w:tcBorders>
            <w:shd w:val="clear" w:color="auto" w:fill="auto"/>
            <w:noWrap/>
            <w:vAlign w:val="bottom"/>
            <w:hideMark/>
          </w:tcPr>
          <w:p w:rsidR="00D90ECD" w:rsidRPr="00D90ECD" w:rsidRDefault="00D90ECD" w:rsidP="00D90ECD">
            <w:pPr>
              <w:jc w:val="left"/>
              <w:rPr>
                <w:rFonts w:cs="Arial"/>
                <w:sz w:val="20"/>
                <w:lang w:eastAsia="hr-HR"/>
              </w:rPr>
            </w:pPr>
            <w:r w:rsidRPr="00D90ECD">
              <w:rPr>
                <w:rFonts w:cs="Arial"/>
                <w:sz w:val="20"/>
                <w:lang w:eastAsia="hr-HR"/>
              </w:rPr>
              <w:t>Istarski domovi zdravlja</w:t>
            </w:r>
          </w:p>
        </w:tc>
        <w:tc>
          <w:tcPr>
            <w:tcW w:w="1078" w:type="pct"/>
            <w:tcBorders>
              <w:top w:val="nil"/>
              <w:left w:val="nil"/>
              <w:bottom w:val="single" w:sz="4" w:space="0" w:color="auto"/>
              <w:right w:val="single" w:sz="4" w:space="0" w:color="auto"/>
            </w:tcBorders>
            <w:shd w:val="clear" w:color="000000" w:fill="FFFFFF"/>
            <w:noWrap/>
            <w:vAlign w:val="bottom"/>
            <w:hideMark/>
          </w:tcPr>
          <w:p w:rsidR="00D90ECD" w:rsidRPr="00D90ECD" w:rsidRDefault="00D90ECD" w:rsidP="00D90ECD">
            <w:pPr>
              <w:jc w:val="right"/>
              <w:rPr>
                <w:rFonts w:cs="Arial"/>
                <w:sz w:val="20"/>
                <w:lang w:eastAsia="hr-HR"/>
              </w:rPr>
            </w:pPr>
            <w:r w:rsidRPr="00D90ECD">
              <w:rPr>
                <w:rFonts w:cs="Arial"/>
                <w:sz w:val="20"/>
                <w:lang w:eastAsia="hr-HR"/>
              </w:rPr>
              <w:t>862.698,25</w:t>
            </w:r>
          </w:p>
        </w:tc>
        <w:tc>
          <w:tcPr>
            <w:tcW w:w="800"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sz w:val="20"/>
                <w:lang w:eastAsia="hr-HR"/>
              </w:rPr>
            </w:pPr>
            <w:r w:rsidRPr="00D90ECD">
              <w:rPr>
                <w:rFonts w:cs="Arial"/>
                <w:sz w:val="20"/>
                <w:lang w:eastAsia="hr-HR"/>
              </w:rPr>
              <w:t>0,00</w:t>
            </w:r>
          </w:p>
        </w:tc>
        <w:tc>
          <w:tcPr>
            <w:tcW w:w="903"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87.769,44</w:t>
            </w:r>
          </w:p>
        </w:tc>
        <w:tc>
          <w:tcPr>
            <w:tcW w:w="987" w:type="pct"/>
            <w:tcBorders>
              <w:top w:val="nil"/>
              <w:left w:val="nil"/>
              <w:bottom w:val="single" w:sz="4" w:space="0" w:color="auto"/>
              <w:right w:val="single" w:sz="8"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774.928,81</w:t>
            </w:r>
          </w:p>
        </w:tc>
      </w:tr>
      <w:tr w:rsidR="00D90ECD" w:rsidRPr="00D90ECD" w:rsidTr="00310607">
        <w:trPr>
          <w:trHeight w:val="300"/>
        </w:trPr>
        <w:tc>
          <w:tcPr>
            <w:tcW w:w="1232" w:type="pct"/>
            <w:tcBorders>
              <w:top w:val="nil"/>
              <w:left w:val="single" w:sz="8" w:space="0" w:color="auto"/>
              <w:bottom w:val="single" w:sz="4" w:space="0" w:color="auto"/>
              <w:right w:val="single" w:sz="4" w:space="0" w:color="auto"/>
            </w:tcBorders>
            <w:shd w:val="clear" w:color="auto" w:fill="auto"/>
            <w:noWrap/>
            <w:vAlign w:val="bottom"/>
            <w:hideMark/>
          </w:tcPr>
          <w:p w:rsidR="00D90ECD" w:rsidRPr="00D90ECD" w:rsidRDefault="00D90ECD" w:rsidP="00D90ECD">
            <w:pPr>
              <w:jc w:val="left"/>
              <w:rPr>
                <w:rFonts w:cs="Arial"/>
                <w:sz w:val="20"/>
                <w:lang w:eastAsia="hr-HR"/>
              </w:rPr>
            </w:pPr>
            <w:r w:rsidRPr="00D90ECD">
              <w:rPr>
                <w:rFonts w:cs="Arial"/>
                <w:sz w:val="20"/>
                <w:lang w:eastAsia="hr-HR"/>
              </w:rPr>
              <w:t xml:space="preserve">Bolnica </w:t>
            </w:r>
            <w:proofErr w:type="spellStart"/>
            <w:r w:rsidRPr="00D90ECD">
              <w:rPr>
                <w:rFonts w:cs="Arial"/>
                <w:sz w:val="20"/>
                <w:lang w:eastAsia="hr-HR"/>
              </w:rPr>
              <w:t>M.Horvat</w:t>
            </w:r>
            <w:proofErr w:type="spellEnd"/>
            <w:r w:rsidRPr="00D90ECD">
              <w:rPr>
                <w:rFonts w:cs="Arial"/>
                <w:sz w:val="20"/>
                <w:lang w:eastAsia="hr-HR"/>
              </w:rPr>
              <w:t xml:space="preserve"> Rovinj</w:t>
            </w:r>
          </w:p>
        </w:tc>
        <w:tc>
          <w:tcPr>
            <w:tcW w:w="1078" w:type="pct"/>
            <w:tcBorders>
              <w:top w:val="nil"/>
              <w:left w:val="nil"/>
              <w:bottom w:val="single" w:sz="4" w:space="0" w:color="auto"/>
              <w:right w:val="single" w:sz="4" w:space="0" w:color="auto"/>
            </w:tcBorders>
            <w:shd w:val="clear" w:color="000000" w:fill="FFFFFF"/>
            <w:noWrap/>
            <w:vAlign w:val="bottom"/>
            <w:hideMark/>
          </w:tcPr>
          <w:p w:rsidR="00D90ECD" w:rsidRPr="00D90ECD" w:rsidRDefault="00D90ECD" w:rsidP="00D90ECD">
            <w:pPr>
              <w:jc w:val="right"/>
              <w:rPr>
                <w:rFonts w:cs="Arial"/>
                <w:sz w:val="20"/>
                <w:lang w:eastAsia="hr-HR"/>
              </w:rPr>
            </w:pPr>
            <w:r w:rsidRPr="00D90ECD">
              <w:rPr>
                <w:rFonts w:cs="Arial"/>
                <w:sz w:val="20"/>
                <w:lang w:eastAsia="hr-HR"/>
              </w:rPr>
              <w:t>608.312,87</w:t>
            </w:r>
          </w:p>
        </w:tc>
        <w:tc>
          <w:tcPr>
            <w:tcW w:w="800"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sz w:val="20"/>
                <w:lang w:eastAsia="hr-HR"/>
              </w:rPr>
            </w:pPr>
            <w:r w:rsidRPr="00D90ECD">
              <w:rPr>
                <w:rFonts w:cs="Arial"/>
                <w:sz w:val="20"/>
                <w:lang w:eastAsia="hr-HR"/>
              </w:rPr>
              <w:t>0,00</w:t>
            </w:r>
          </w:p>
        </w:tc>
        <w:tc>
          <w:tcPr>
            <w:tcW w:w="903"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55.301,16</w:t>
            </w:r>
          </w:p>
        </w:tc>
        <w:tc>
          <w:tcPr>
            <w:tcW w:w="987" w:type="pct"/>
            <w:tcBorders>
              <w:top w:val="nil"/>
              <w:left w:val="nil"/>
              <w:bottom w:val="single" w:sz="4" w:space="0" w:color="auto"/>
              <w:right w:val="single" w:sz="8"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553.011,71</w:t>
            </w:r>
          </w:p>
        </w:tc>
      </w:tr>
      <w:tr w:rsidR="00D90ECD" w:rsidRPr="00D90ECD" w:rsidTr="00310607">
        <w:trPr>
          <w:trHeight w:val="300"/>
        </w:trPr>
        <w:tc>
          <w:tcPr>
            <w:tcW w:w="1232" w:type="pct"/>
            <w:tcBorders>
              <w:top w:val="nil"/>
              <w:left w:val="single" w:sz="8" w:space="0" w:color="auto"/>
              <w:bottom w:val="single" w:sz="4" w:space="0" w:color="auto"/>
              <w:right w:val="single" w:sz="4" w:space="0" w:color="auto"/>
            </w:tcBorders>
            <w:shd w:val="clear" w:color="auto" w:fill="auto"/>
            <w:noWrap/>
            <w:vAlign w:val="bottom"/>
            <w:hideMark/>
          </w:tcPr>
          <w:p w:rsidR="00D90ECD" w:rsidRPr="00D90ECD" w:rsidRDefault="00D90ECD" w:rsidP="00D90ECD">
            <w:pPr>
              <w:jc w:val="left"/>
              <w:rPr>
                <w:rFonts w:cs="Arial"/>
                <w:sz w:val="20"/>
                <w:lang w:eastAsia="hr-HR"/>
              </w:rPr>
            </w:pPr>
            <w:r w:rsidRPr="00D90ECD">
              <w:rPr>
                <w:rFonts w:cs="Arial"/>
                <w:sz w:val="20"/>
                <w:lang w:eastAsia="hr-HR"/>
              </w:rPr>
              <w:t xml:space="preserve">Bolnica </w:t>
            </w:r>
            <w:proofErr w:type="spellStart"/>
            <w:r w:rsidRPr="00D90ECD">
              <w:rPr>
                <w:rFonts w:cs="Arial"/>
                <w:sz w:val="20"/>
                <w:lang w:eastAsia="hr-HR"/>
              </w:rPr>
              <w:t>M.Horvat</w:t>
            </w:r>
            <w:proofErr w:type="spellEnd"/>
            <w:r w:rsidRPr="00D90ECD">
              <w:rPr>
                <w:rFonts w:cs="Arial"/>
                <w:sz w:val="20"/>
                <w:lang w:eastAsia="hr-HR"/>
              </w:rPr>
              <w:t xml:space="preserve"> Rovinj</w:t>
            </w:r>
          </w:p>
        </w:tc>
        <w:tc>
          <w:tcPr>
            <w:tcW w:w="1078" w:type="pct"/>
            <w:tcBorders>
              <w:top w:val="nil"/>
              <w:left w:val="nil"/>
              <w:bottom w:val="single" w:sz="4" w:space="0" w:color="auto"/>
              <w:right w:val="single" w:sz="4" w:space="0" w:color="auto"/>
            </w:tcBorders>
            <w:shd w:val="clear" w:color="000000" w:fill="FFFFFF"/>
            <w:noWrap/>
            <w:vAlign w:val="bottom"/>
            <w:hideMark/>
          </w:tcPr>
          <w:p w:rsidR="00D90ECD" w:rsidRPr="00D90ECD" w:rsidRDefault="00D90ECD" w:rsidP="00D90ECD">
            <w:pPr>
              <w:jc w:val="right"/>
              <w:rPr>
                <w:rFonts w:cs="Arial"/>
                <w:sz w:val="20"/>
                <w:lang w:eastAsia="hr-HR"/>
              </w:rPr>
            </w:pPr>
            <w:r w:rsidRPr="00D90ECD">
              <w:rPr>
                <w:rFonts w:cs="Arial"/>
                <w:sz w:val="20"/>
                <w:lang w:eastAsia="hr-HR"/>
              </w:rPr>
              <w:t>953.945,20</w:t>
            </w:r>
          </w:p>
        </w:tc>
        <w:tc>
          <w:tcPr>
            <w:tcW w:w="800"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sz w:val="20"/>
                <w:lang w:eastAsia="hr-HR"/>
              </w:rPr>
            </w:pPr>
            <w:r w:rsidRPr="00D90ECD">
              <w:rPr>
                <w:rFonts w:cs="Arial"/>
                <w:sz w:val="20"/>
                <w:lang w:eastAsia="hr-HR"/>
              </w:rPr>
              <w:t>0,00</w:t>
            </w:r>
          </w:p>
        </w:tc>
        <w:tc>
          <w:tcPr>
            <w:tcW w:w="903"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82.952,12</w:t>
            </w:r>
          </w:p>
        </w:tc>
        <w:tc>
          <w:tcPr>
            <w:tcW w:w="987" w:type="pct"/>
            <w:tcBorders>
              <w:top w:val="nil"/>
              <w:left w:val="nil"/>
              <w:bottom w:val="single" w:sz="4" w:space="0" w:color="auto"/>
              <w:right w:val="single" w:sz="8"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870.993,08</w:t>
            </w:r>
          </w:p>
        </w:tc>
      </w:tr>
      <w:tr w:rsidR="00D90ECD" w:rsidRPr="00D90ECD" w:rsidTr="00310607">
        <w:trPr>
          <w:trHeight w:val="300"/>
        </w:trPr>
        <w:tc>
          <w:tcPr>
            <w:tcW w:w="1232" w:type="pct"/>
            <w:tcBorders>
              <w:top w:val="nil"/>
              <w:left w:val="single" w:sz="8" w:space="0" w:color="auto"/>
              <w:bottom w:val="single" w:sz="4" w:space="0" w:color="auto"/>
              <w:right w:val="single" w:sz="4" w:space="0" w:color="auto"/>
            </w:tcBorders>
            <w:shd w:val="clear" w:color="auto" w:fill="auto"/>
            <w:noWrap/>
            <w:vAlign w:val="bottom"/>
            <w:hideMark/>
          </w:tcPr>
          <w:p w:rsidR="00D90ECD" w:rsidRPr="00D90ECD" w:rsidRDefault="00D90ECD" w:rsidP="00D90ECD">
            <w:pPr>
              <w:jc w:val="left"/>
              <w:rPr>
                <w:rFonts w:cs="Arial"/>
                <w:sz w:val="20"/>
                <w:lang w:eastAsia="hr-HR"/>
              </w:rPr>
            </w:pPr>
            <w:r w:rsidRPr="00D90ECD">
              <w:rPr>
                <w:rFonts w:cs="Arial"/>
                <w:sz w:val="20"/>
                <w:lang w:eastAsia="hr-HR"/>
              </w:rPr>
              <w:t xml:space="preserve">Bolnica </w:t>
            </w:r>
            <w:proofErr w:type="spellStart"/>
            <w:r w:rsidRPr="00D90ECD">
              <w:rPr>
                <w:rFonts w:cs="Arial"/>
                <w:sz w:val="20"/>
                <w:lang w:eastAsia="hr-HR"/>
              </w:rPr>
              <w:t>M.Horvat</w:t>
            </w:r>
            <w:proofErr w:type="spellEnd"/>
            <w:r w:rsidRPr="00D90ECD">
              <w:rPr>
                <w:rFonts w:cs="Arial"/>
                <w:sz w:val="20"/>
                <w:lang w:eastAsia="hr-HR"/>
              </w:rPr>
              <w:t xml:space="preserve"> Rovinj</w:t>
            </w:r>
          </w:p>
        </w:tc>
        <w:tc>
          <w:tcPr>
            <w:tcW w:w="1078" w:type="pct"/>
            <w:tcBorders>
              <w:top w:val="nil"/>
              <w:left w:val="nil"/>
              <w:bottom w:val="single" w:sz="4" w:space="0" w:color="auto"/>
              <w:right w:val="single" w:sz="4" w:space="0" w:color="auto"/>
            </w:tcBorders>
            <w:shd w:val="clear" w:color="000000" w:fill="FFFFFF"/>
            <w:noWrap/>
            <w:vAlign w:val="bottom"/>
            <w:hideMark/>
          </w:tcPr>
          <w:p w:rsidR="00D90ECD" w:rsidRPr="00D90ECD" w:rsidRDefault="00D90ECD" w:rsidP="00D90ECD">
            <w:pPr>
              <w:jc w:val="right"/>
              <w:rPr>
                <w:rFonts w:cs="Arial"/>
                <w:sz w:val="20"/>
                <w:lang w:eastAsia="hr-HR"/>
              </w:rPr>
            </w:pPr>
            <w:r w:rsidRPr="00D90ECD">
              <w:rPr>
                <w:rFonts w:cs="Arial"/>
                <w:sz w:val="20"/>
                <w:lang w:eastAsia="hr-HR"/>
              </w:rPr>
              <w:t>995.421,06</w:t>
            </w:r>
          </w:p>
        </w:tc>
        <w:tc>
          <w:tcPr>
            <w:tcW w:w="800"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sz w:val="20"/>
                <w:lang w:eastAsia="hr-HR"/>
              </w:rPr>
            </w:pPr>
            <w:r w:rsidRPr="00D90ECD">
              <w:rPr>
                <w:rFonts w:cs="Arial"/>
                <w:sz w:val="20"/>
                <w:lang w:eastAsia="hr-HR"/>
              </w:rPr>
              <w:t>0,00</w:t>
            </w:r>
          </w:p>
        </w:tc>
        <w:tc>
          <w:tcPr>
            <w:tcW w:w="903"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82.951,76</w:t>
            </w:r>
          </w:p>
        </w:tc>
        <w:tc>
          <w:tcPr>
            <w:tcW w:w="987" w:type="pct"/>
            <w:tcBorders>
              <w:top w:val="nil"/>
              <w:left w:val="nil"/>
              <w:bottom w:val="single" w:sz="4" w:space="0" w:color="auto"/>
              <w:right w:val="single" w:sz="8"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912.469,30</w:t>
            </w:r>
          </w:p>
        </w:tc>
      </w:tr>
      <w:tr w:rsidR="00D90ECD" w:rsidRPr="00D90ECD" w:rsidTr="00310607">
        <w:trPr>
          <w:trHeight w:val="300"/>
        </w:trPr>
        <w:tc>
          <w:tcPr>
            <w:tcW w:w="1232" w:type="pct"/>
            <w:tcBorders>
              <w:top w:val="nil"/>
              <w:left w:val="single" w:sz="8" w:space="0" w:color="auto"/>
              <w:bottom w:val="single" w:sz="4" w:space="0" w:color="auto"/>
              <w:right w:val="single" w:sz="4" w:space="0" w:color="auto"/>
            </w:tcBorders>
            <w:shd w:val="clear" w:color="auto" w:fill="auto"/>
            <w:noWrap/>
            <w:vAlign w:val="bottom"/>
            <w:hideMark/>
          </w:tcPr>
          <w:p w:rsidR="00D90ECD" w:rsidRPr="00D90ECD" w:rsidRDefault="00D90ECD" w:rsidP="00D90ECD">
            <w:pPr>
              <w:jc w:val="left"/>
              <w:rPr>
                <w:rFonts w:cs="Arial"/>
                <w:sz w:val="20"/>
                <w:lang w:eastAsia="hr-HR"/>
              </w:rPr>
            </w:pPr>
            <w:r w:rsidRPr="00D90ECD">
              <w:rPr>
                <w:rFonts w:cs="Arial"/>
                <w:sz w:val="20"/>
                <w:lang w:eastAsia="hr-HR"/>
              </w:rPr>
              <w:t xml:space="preserve">Bolnica </w:t>
            </w:r>
            <w:proofErr w:type="spellStart"/>
            <w:r w:rsidRPr="00D90ECD">
              <w:rPr>
                <w:rFonts w:cs="Arial"/>
                <w:sz w:val="20"/>
                <w:lang w:eastAsia="hr-HR"/>
              </w:rPr>
              <w:t>M.Horvat</w:t>
            </w:r>
            <w:proofErr w:type="spellEnd"/>
            <w:r w:rsidRPr="00D90ECD">
              <w:rPr>
                <w:rFonts w:cs="Arial"/>
                <w:sz w:val="20"/>
                <w:lang w:eastAsia="hr-HR"/>
              </w:rPr>
              <w:t xml:space="preserve"> Rovinj</w:t>
            </w:r>
          </w:p>
        </w:tc>
        <w:tc>
          <w:tcPr>
            <w:tcW w:w="1078" w:type="pct"/>
            <w:tcBorders>
              <w:top w:val="nil"/>
              <w:left w:val="nil"/>
              <w:bottom w:val="single" w:sz="4" w:space="0" w:color="auto"/>
              <w:right w:val="single" w:sz="4" w:space="0" w:color="auto"/>
            </w:tcBorders>
            <w:shd w:val="clear" w:color="000000" w:fill="FFFFFF"/>
            <w:noWrap/>
            <w:vAlign w:val="bottom"/>
            <w:hideMark/>
          </w:tcPr>
          <w:p w:rsidR="00D90ECD" w:rsidRPr="00D90ECD" w:rsidRDefault="00D90ECD" w:rsidP="00D90ECD">
            <w:pPr>
              <w:jc w:val="right"/>
              <w:rPr>
                <w:rFonts w:cs="Arial"/>
                <w:sz w:val="20"/>
                <w:lang w:eastAsia="hr-HR"/>
              </w:rPr>
            </w:pPr>
            <w:r w:rsidRPr="00D90ECD">
              <w:rPr>
                <w:rFonts w:cs="Arial"/>
                <w:sz w:val="20"/>
                <w:lang w:eastAsia="hr-HR"/>
              </w:rPr>
              <w:t>0,00</w:t>
            </w:r>
          </w:p>
        </w:tc>
        <w:tc>
          <w:tcPr>
            <w:tcW w:w="800"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sz w:val="20"/>
                <w:lang w:eastAsia="hr-HR"/>
              </w:rPr>
            </w:pPr>
            <w:r w:rsidRPr="00D90ECD">
              <w:rPr>
                <w:rFonts w:cs="Arial"/>
                <w:sz w:val="20"/>
                <w:lang w:eastAsia="hr-HR"/>
              </w:rPr>
              <w:t>4.300.000,00</w:t>
            </w:r>
          </w:p>
        </w:tc>
        <w:tc>
          <w:tcPr>
            <w:tcW w:w="903"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0,00</w:t>
            </w:r>
          </w:p>
        </w:tc>
        <w:tc>
          <w:tcPr>
            <w:tcW w:w="987" w:type="pct"/>
            <w:tcBorders>
              <w:top w:val="nil"/>
              <w:left w:val="nil"/>
              <w:bottom w:val="single" w:sz="4" w:space="0" w:color="auto"/>
              <w:right w:val="single" w:sz="8"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4.300.000,00</w:t>
            </w:r>
          </w:p>
        </w:tc>
      </w:tr>
      <w:tr w:rsidR="00D90ECD" w:rsidRPr="00D90ECD" w:rsidTr="00310607">
        <w:trPr>
          <w:trHeight w:val="300"/>
        </w:trPr>
        <w:tc>
          <w:tcPr>
            <w:tcW w:w="1232" w:type="pct"/>
            <w:tcBorders>
              <w:top w:val="nil"/>
              <w:left w:val="single" w:sz="8" w:space="0" w:color="auto"/>
              <w:bottom w:val="single" w:sz="4" w:space="0" w:color="auto"/>
              <w:right w:val="single" w:sz="4" w:space="0" w:color="auto"/>
            </w:tcBorders>
            <w:shd w:val="clear" w:color="auto" w:fill="auto"/>
            <w:noWrap/>
            <w:vAlign w:val="bottom"/>
            <w:hideMark/>
          </w:tcPr>
          <w:p w:rsidR="00D90ECD" w:rsidRPr="00D90ECD" w:rsidRDefault="00D90ECD" w:rsidP="00D90ECD">
            <w:pPr>
              <w:jc w:val="left"/>
              <w:rPr>
                <w:rFonts w:cs="Arial"/>
                <w:sz w:val="20"/>
                <w:lang w:eastAsia="hr-HR"/>
              </w:rPr>
            </w:pPr>
            <w:r w:rsidRPr="00D90ECD">
              <w:rPr>
                <w:rFonts w:cs="Arial"/>
                <w:sz w:val="20"/>
                <w:lang w:eastAsia="hr-HR"/>
              </w:rPr>
              <w:t>Lučka uprava Rovinj</w:t>
            </w:r>
          </w:p>
        </w:tc>
        <w:tc>
          <w:tcPr>
            <w:tcW w:w="1078" w:type="pct"/>
            <w:tcBorders>
              <w:top w:val="nil"/>
              <w:left w:val="nil"/>
              <w:bottom w:val="single" w:sz="4" w:space="0" w:color="auto"/>
              <w:right w:val="single" w:sz="4" w:space="0" w:color="auto"/>
            </w:tcBorders>
            <w:shd w:val="clear" w:color="000000" w:fill="FFFFFF"/>
            <w:noWrap/>
            <w:vAlign w:val="bottom"/>
            <w:hideMark/>
          </w:tcPr>
          <w:p w:rsidR="00D90ECD" w:rsidRPr="00D90ECD" w:rsidRDefault="00D90ECD" w:rsidP="00D90ECD">
            <w:pPr>
              <w:jc w:val="right"/>
              <w:rPr>
                <w:rFonts w:cs="Arial"/>
                <w:sz w:val="20"/>
                <w:lang w:eastAsia="hr-HR"/>
              </w:rPr>
            </w:pPr>
            <w:r w:rsidRPr="00D90ECD">
              <w:rPr>
                <w:rFonts w:cs="Arial"/>
                <w:sz w:val="20"/>
                <w:lang w:eastAsia="hr-HR"/>
              </w:rPr>
              <w:t>2.747.956,27</w:t>
            </w:r>
          </w:p>
        </w:tc>
        <w:tc>
          <w:tcPr>
            <w:tcW w:w="800"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sz w:val="20"/>
                <w:lang w:eastAsia="hr-HR"/>
              </w:rPr>
            </w:pPr>
            <w:r w:rsidRPr="00D90ECD">
              <w:rPr>
                <w:rFonts w:cs="Arial"/>
                <w:sz w:val="20"/>
                <w:lang w:eastAsia="hr-HR"/>
              </w:rPr>
              <w:t>0,00</w:t>
            </w:r>
          </w:p>
        </w:tc>
        <w:tc>
          <w:tcPr>
            <w:tcW w:w="903"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171.747,27</w:t>
            </w:r>
          </w:p>
        </w:tc>
        <w:tc>
          <w:tcPr>
            <w:tcW w:w="987" w:type="pct"/>
            <w:tcBorders>
              <w:top w:val="nil"/>
              <w:left w:val="nil"/>
              <w:bottom w:val="single" w:sz="4" w:space="0" w:color="auto"/>
              <w:right w:val="single" w:sz="8"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2.576.209,00</w:t>
            </w:r>
          </w:p>
        </w:tc>
      </w:tr>
      <w:tr w:rsidR="00D90ECD" w:rsidRPr="00D90ECD" w:rsidTr="00310607">
        <w:trPr>
          <w:trHeight w:val="300"/>
        </w:trPr>
        <w:tc>
          <w:tcPr>
            <w:tcW w:w="1232" w:type="pct"/>
            <w:tcBorders>
              <w:top w:val="nil"/>
              <w:left w:val="single" w:sz="8" w:space="0" w:color="auto"/>
              <w:bottom w:val="single" w:sz="4" w:space="0" w:color="auto"/>
              <w:right w:val="single" w:sz="4" w:space="0" w:color="auto"/>
            </w:tcBorders>
            <w:shd w:val="clear" w:color="auto" w:fill="auto"/>
            <w:noWrap/>
            <w:vAlign w:val="bottom"/>
            <w:hideMark/>
          </w:tcPr>
          <w:p w:rsidR="00D90ECD" w:rsidRPr="00D90ECD" w:rsidRDefault="00D90ECD" w:rsidP="00D90ECD">
            <w:pPr>
              <w:jc w:val="left"/>
              <w:rPr>
                <w:rFonts w:cs="Arial"/>
                <w:sz w:val="20"/>
                <w:lang w:eastAsia="hr-HR"/>
              </w:rPr>
            </w:pPr>
            <w:proofErr w:type="spellStart"/>
            <w:r w:rsidRPr="00D90ECD">
              <w:rPr>
                <w:rFonts w:cs="Arial"/>
                <w:sz w:val="20"/>
                <w:lang w:eastAsia="hr-HR"/>
              </w:rPr>
              <w:t>Kaštijun</w:t>
            </w:r>
            <w:proofErr w:type="spellEnd"/>
            <w:r w:rsidRPr="00D90ECD">
              <w:rPr>
                <w:rFonts w:cs="Arial"/>
                <w:sz w:val="20"/>
                <w:lang w:eastAsia="hr-HR"/>
              </w:rPr>
              <w:t xml:space="preserve"> d.o.o.</w:t>
            </w:r>
          </w:p>
        </w:tc>
        <w:tc>
          <w:tcPr>
            <w:tcW w:w="1078" w:type="pct"/>
            <w:tcBorders>
              <w:top w:val="nil"/>
              <w:left w:val="nil"/>
              <w:bottom w:val="single" w:sz="4" w:space="0" w:color="auto"/>
              <w:right w:val="single" w:sz="4" w:space="0" w:color="auto"/>
            </w:tcBorders>
            <w:shd w:val="clear" w:color="000000" w:fill="FFFFFF"/>
            <w:noWrap/>
            <w:vAlign w:val="bottom"/>
            <w:hideMark/>
          </w:tcPr>
          <w:p w:rsidR="00D90ECD" w:rsidRPr="00D90ECD" w:rsidRDefault="00D90ECD" w:rsidP="00D90ECD">
            <w:pPr>
              <w:jc w:val="right"/>
              <w:rPr>
                <w:rFonts w:cs="Arial"/>
                <w:sz w:val="20"/>
                <w:lang w:eastAsia="hr-HR"/>
              </w:rPr>
            </w:pPr>
            <w:r w:rsidRPr="00D90ECD">
              <w:rPr>
                <w:rFonts w:cs="Arial"/>
                <w:sz w:val="20"/>
                <w:lang w:eastAsia="hr-HR"/>
              </w:rPr>
              <w:t>2.569.387,89</w:t>
            </w:r>
          </w:p>
        </w:tc>
        <w:tc>
          <w:tcPr>
            <w:tcW w:w="800"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sz w:val="20"/>
                <w:lang w:eastAsia="hr-HR"/>
              </w:rPr>
            </w:pPr>
            <w:r w:rsidRPr="00D90ECD">
              <w:rPr>
                <w:rFonts w:cs="Arial"/>
                <w:sz w:val="20"/>
                <w:lang w:eastAsia="hr-HR"/>
              </w:rPr>
              <w:t>0,00</w:t>
            </w:r>
          </w:p>
        </w:tc>
        <w:tc>
          <w:tcPr>
            <w:tcW w:w="903" w:type="pct"/>
            <w:tcBorders>
              <w:top w:val="nil"/>
              <w:left w:val="nil"/>
              <w:bottom w:val="single" w:sz="4" w:space="0" w:color="auto"/>
              <w:right w:val="single" w:sz="4"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1.123.186,57</w:t>
            </w:r>
          </w:p>
        </w:tc>
        <w:tc>
          <w:tcPr>
            <w:tcW w:w="987" w:type="pct"/>
            <w:tcBorders>
              <w:top w:val="nil"/>
              <w:left w:val="nil"/>
              <w:bottom w:val="single" w:sz="4" w:space="0" w:color="auto"/>
              <w:right w:val="single" w:sz="8" w:space="0" w:color="auto"/>
            </w:tcBorders>
            <w:shd w:val="clear" w:color="auto" w:fill="auto"/>
            <w:noWrap/>
            <w:vAlign w:val="bottom"/>
            <w:hideMark/>
          </w:tcPr>
          <w:p w:rsidR="00D90ECD" w:rsidRPr="00D90ECD" w:rsidRDefault="00D90ECD" w:rsidP="00D90ECD">
            <w:pPr>
              <w:jc w:val="right"/>
              <w:rPr>
                <w:rFonts w:cs="Arial"/>
                <w:color w:val="000000"/>
                <w:sz w:val="20"/>
                <w:lang w:eastAsia="hr-HR"/>
              </w:rPr>
            </w:pPr>
            <w:r w:rsidRPr="00D90ECD">
              <w:rPr>
                <w:rFonts w:cs="Arial"/>
                <w:color w:val="000000"/>
                <w:sz w:val="20"/>
                <w:lang w:eastAsia="hr-HR"/>
              </w:rPr>
              <w:t>1.446.201,32</w:t>
            </w:r>
          </w:p>
        </w:tc>
      </w:tr>
      <w:tr w:rsidR="00D90ECD" w:rsidRPr="00D90ECD" w:rsidTr="00310607">
        <w:trPr>
          <w:trHeight w:val="300"/>
        </w:trPr>
        <w:tc>
          <w:tcPr>
            <w:tcW w:w="1232" w:type="pct"/>
            <w:tcBorders>
              <w:top w:val="nil"/>
              <w:left w:val="single" w:sz="8" w:space="0" w:color="auto"/>
              <w:bottom w:val="single" w:sz="8" w:space="0" w:color="auto"/>
              <w:right w:val="single" w:sz="4" w:space="0" w:color="auto"/>
            </w:tcBorders>
            <w:shd w:val="clear" w:color="000000" w:fill="D0CECE"/>
            <w:noWrap/>
            <w:vAlign w:val="bottom"/>
            <w:hideMark/>
          </w:tcPr>
          <w:p w:rsidR="00D90ECD" w:rsidRPr="00D90ECD" w:rsidRDefault="00D90ECD" w:rsidP="00D90ECD">
            <w:pPr>
              <w:jc w:val="left"/>
              <w:rPr>
                <w:rFonts w:cs="Arial"/>
                <w:b/>
                <w:bCs/>
                <w:sz w:val="20"/>
                <w:lang w:eastAsia="hr-HR"/>
              </w:rPr>
            </w:pPr>
            <w:r w:rsidRPr="00D90ECD">
              <w:rPr>
                <w:rFonts w:cs="Arial"/>
                <w:b/>
                <w:bCs/>
                <w:sz w:val="20"/>
                <w:lang w:eastAsia="hr-HR"/>
              </w:rPr>
              <w:t>UKUPNO</w:t>
            </w:r>
          </w:p>
        </w:tc>
        <w:tc>
          <w:tcPr>
            <w:tcW w:w="1078" w:type="pct"/>
            <w:tcBorders>
              <w:top w:val="nil"/>
              <w:left w:val="nil"/>
              <w:bottom w:val="single" w:sz="8" w:space="0" w:color="auto"/>
              <w:right w:val="single" w:sz="4" w:space="0" w:color="auto"/>
            </w:tcBorders>
            <w:shd w:val="clear" w:color="000000" w:fill="D0CECE"/>
            <w:noWrap/>
            <w:vAlign w:val="bottom"/>
            <w:hideMark/>
          </w:tcPr>
          <w:p w:rsidR="00D90ECD" w:rsidRPr="00D90ECD" w:rsidRDefault="00D90ECD" w:rsidP="00D90ECD">
            <w:pPr>
              <w:jc w:val="right"/>
              <w:rPr>
                <w:rFonts w:cs="Arial"/>
                <w:b/>
                <w:bCs/>
                <w:sz w:val="20"/>
                <w:lang w:eastAsia="hr-HR"/>
              </w:rPr>
            </w:pPr>
            <w:r w:rsidRPr="00D90ECD">
              <w:rPr>
                <w:rFonts w:cs="Arial"/>
                <w:b/>
                <w:bCs/>
                <w:sz w:val="20"/>
                <w:lang w:eastAsia="hr-HR"/>
              </w:rPr>
              <w:t>31.910.191,66</w:t>
            </w:r>
          </w:p>
        </w:tc>
        <w:tc>
          <w:tcPr>
            <w:tcW w:w="800" w:type="pct"/>
            <w:tcBorders>
              <w:top w:val="nil"/>
              <w:left w:val="nil"/>
              <w:bottom w:val="single" w:sz="8" w:space="0" w:color="auto"/>
              <w:right w:val="single" w:sz="4" w:space="0" w:color="auto"/>
            </w:tcBorders>
            <w:shd w:val="clear" w:color="000000" w:fill="D0CECE"/>
            <w:noWrap/>
            <w:vAlign w:val="bottom"/>
            <w:hideMark/>
          </w:tcPr>
          <w:p w:rsidR="00D90ECD" w:rsidRPr="00D90ECD" w:rsidRDefault="00D90ECD" w:rsidP="00D90ECD">
            <w:pPr>
              <w:jc w:val="right"/>
              <w:rPr>
                <w:rFonts w:cs="Arial"/>
                <w:b/>
                <w:bCs/>
                <w:sz w:val="20"/>
                <w:lang w:eastAsia="hr-HR"/>
              </w:rPr>
            </w:pPr>
            <w:r w:rsidRPr="00D90ECD">
              <w:rPr>
                <w:rFonts w:cs="Arial"/>
                <w:b/>
                <w:bCs/>
                <w:sz w:val="20"/>
                <w:lang w:eastAsia="hr-HR"/>
              </w:rPr>
              <w:t>4.300.000,00</w:t>
            </w:r>
          </w:p>
        </w:tc>
        <w:tc>
          <w:tcPr>
            <w:tcW w:w="903" w:type="pct"/>
            <w:tcBorders>
              <w:top w:val="nil"/>
              <w:left w:val="nil"/>
              <w:bottom w:val="single" w:sz="8" w:space="0" w:color="auto"/>
              <w:right w:val="single" w:sz="4" w:space="0" w:color="auto"/>
            </w:tcBorders>
            <w:shd w:val="clear" w:color="000000" w:fill="D0CECE"/>
            <w:noWrap/>
            <w:vAlign w:val="bottom"/>
            <w:hideMark/>
          </w:tcPr>
          <w:p w:rsidR="00D90ECD" w:rsidRPr="00D90ECD" w:rsidRDefault="00D90ECD" w:rsidP="00D90ECD">
            <w:pPr>
              <w:jc w:val="right"/>
              <w:rPr>
                <w:rFonts w:cs="Arial"/>
                <w:b/>
                <w:bCs/>
                <w:color w:val="000000"/>
                <w:sz w:val="20"/>
                <w:lang w:eastAsia="hr-HR"/>
              </w:rPr>
            </w:pPr>
            <w:r w:rsidRPr="00D90ECD">
              <w:rPr>
                <w:rFonts w:cs="Arial"/>
                <w:b/>
                <w:bCs/>
                <w:color w:val="000000"/>
                <w:sz w:val="20"/>
                <w:lang w:eastAsia="hr-HR"/>
              </w:rPr>
              <w:t>3.565.471,60</w:t>
            </w:r>
          </w:p>
        </w:tc>
        <w:tc>
          <w:tcPr>
            <w:tcW w:w="987" w:type="pct"/>
            <w:tcBorders>
              <w:top w:val="nil"/>
              <w:left w:val="nil"/>
              <w:bottom w:val="single" w:sz="8" w:space="0" w:color="auto"/>
              <w:right w:val="single" w:sz="8" w:space="0" w:color="auto"/>
            </w:tcBorders>
            <w:shd w:val="clear" w:color="000000" w:fill="D0CECE"/>
            <w:noWrap/>
            <w:vAlign w:val="bottom"/>
            <w:hideMark/>
          </w:tcPr>
          <w:p w:rsidR="00D90ECD" w:rsidRPr="00D90ECD" w:rsidRDefault="00D90ECD" w:rsidP="00D90ECD">
            <w:pPr>
              <w:jc w:val="right"/>
              <w:rPr>
                <w:rFonts w:cs="Arial"/>
                <w:b/>
                <w:bCs/>
                <w:color w:val="000000"/>
                <w:sz w:val="20"/>
                <w:lang w:eastAsia="hr-HR"/>
              </w:rPr>
            </w:pPr>
            <w:r w:rsidRPr="00D90ECD">
              <w:rPr>
                <w:rFonts w:cs="Arial"/>
                <w:b/>
                <w:bCs/>
                <w:color w:val="000000"/>
                <w:sz w:val="20"/>
                <w:lang w:eastAsia="hr-HR"/>
              </w:rPr>
              <w:t>32.644.720,06</w:t>
            </w:r>
          </w:p>
        </w:tc>
      </w:tr>
    </w:tbl>
    <w:p w:rsidR="00D90ECD" w:rsidRDefault="00D90ECD" w:rsidP="008045BC">
      <w:pPr>
        <w:rPr>
          <w:rFonts w:ascii="Calibri" w:hAnsi="Calibri" w:cs="Calibri"/>
          <w:b/>
          <w:bCs/>
          <w:color w:val="000000"/>
          <w:szCs w:val="22"/>
          <w:lang w:eastAsia="hr-HR"/>
        </w:rPr>
      </w:pPr>
    </w:p>
    <w:p w:rsidR="00F442A2" w:rsidRPr="00D90ECD" w:rsidRDefault="008045BC" w:rsidP="008045BC">
      <w:pPr>
        <w:autoSpaceDE w:val="0"/>
        <w:autoSpaceDN w:val="0"/>
        <w:adjustRightInd w:val="0"/>
      </w:pPr>
      <w:r w:rsidRPr="00D90ECD">
        <w:t xml:space="preserve">U vanbilančnoj evidenciji knjižena je i tuđa imovina dana na  korištenje u </w:t>
      </w:r>
      <w:r w:rsidR="00310607">
        <w:t xml:space="preserve">ukupnoj </w:t>
      </w:r>
      <w:r w:rsidRPr="00D90ECD">
        <w:t xml:space="preserve">vrijednosti od </w:t>
      </w:r>
      <w:r w:rsidR="000400CB" w:rsidRPr="00D90ECD">
        <w:t>85eur</w:t>
      </w:r>
      <w:r w:rsidRPr="00D90ECD">
        <w:t>. U tuđu imovinu danu na korištenje spadaju poslovne zgrade</w:t>
      </w:r>
      <w:r w:rsidR="00310607">
        <w:t>:</w:t>
      </w:r>
      <w:r w:rsidRPr="00D90ECD">
        <w:t xml:space="preserve"> u </w:t>
      </w:r>
      <w:proofErr w:type="spellStart"/>
      <w:r w:rsidRPr="00D90ECD">
        <w:t>Flanatičkoj</w:t>
      </w:r>
      <w:proofErr w:type="spellEnd"/>
      <w:r w:rsidRPr="00D90ECD">
        <w:t xml:space="preserve"> 29 Pula, Splitskoj 14 Pula, </w:t>
      </w:r>
      <w:proofErr w:type="spellStart"/>
      <w:r w:rsidRPr="00D90ECD">
        <w:t>Dršćevki</w:t>
      </w:r>
      <w:proofErr w:type="spellEnd"/>
      <w:r w:rsidRPr="00D90ECD">
        <w:t xml:space="preserve"> </w:t>
      </w:r>
      <w:r w:rsidR="00762A28" w:rsidRPr="00D90ECD">
        <w:t>1</w:t>
      </w:r>
      <w:r w:rsidRPr="00D90ECD">
        <w:t xml:space="preserve">u Pazinu, </w:t>
      </w:r>
      <w:proofErr w:type="spellStart"/>
      <w:r w:rsidR="00762A28" w:rsidRPr="00D90ECD">
        <w:t>Dršćevki</w:t>
      </w:r>
      <w:proofErr w:type="spellEnd"/>
      <w:r w:rsidR="00762A28" w:rsidRPr="00D90ECD">
        <w:t xml:space="preserve"> 3 u Pazinu, Matka Brajše Rašana u Pazinu, </w:t>
      </w:r>
      <w:r w:rsidRPr="00D90ECD">
        <w:t xml:space="preserve">Zgrada Admiraliteta Riva 8 u Puli kao i CIS, Sv. </w:t>
      </w:r>
      <w:proofErr w:type="spellStart"/>
      <w:r w:rsidRPr="00D90ECD">
        <w:t>Polikarp</w:t>
      </w:r>
      <w:proofErr w:type="spellEnd"/>
      <w:r w:rsidRPr="00D90ECD">
        <w:t xml:space="preserve"> 2 Pula</w:t>
      </w:r>
      <w:r w:rsidR="00762A28" w:rsidRPr="00D90ECD">
        <w:t>,</w:t>
      </w:r>
      <w:r w:rsidRPr="00D90ECD">
        <w:t xml:space="preserve"> Trg </w:t>
      </w:r>
      <w:proofErr w:type="spellStart"/>
      <w:r w:rsidRPr="00D90ECD">
        <w:t>I.Istarske</w:t>
      </w:r>
      <w:proofErr w:type="spellEnd"/>
      <w:r w:rsidRPr="00D90ECD">
        <w:t xml:space="preserve"> brigade</w:t>
      </w:r>
      <w:r w:rsidR="004F3276" w:rsidRPr="00D90ECD">
        <w:t xml:space="preserve"> Pula, Istarska 13 Rovinj</w:t>
      </w:r>
      <w:r w:rsidRPr="00D90ECD">
        <w:t xml:space="preserve">, </w:t>
      </w:r>
      <w:r w:rsidR="00762A28" w:rsidRPr="00D90ECD">
        <w:t xml:space="preserve">i zgrada na adresi </w:t>
      </w:r>
      <w:r w:rsidRPr="00D90ECD">
        <w:t>Pula</w:t>
      </w:r>
      <w:r w:rsidR="00762A28" w:rsidRPr="00D90ECD">
        <w:t xml:space="preserve"> Starih statuta</w:t>
      </w:r>
      <w:r w:rsidRPr="00D90ECD">
        <w:t xml:space="preserve">. Zgrade su imovina Grada Pule, Grada Pazina i Republike Hrvatske. </w:t>
      </w:r>
    </w:p>
    <w:p w:rsidR="00F442A2" w:rsidRPr="00D90ECD" w:rsidRDefault="00F442A2" w:rsidP="008045BC">
      <w:pPr>
        <w:autoSpaceDE w:val="0"/>
        <w:autoSpaceDN w:val="0"/>
        <w:adjustRightInd w:val="0"/>
      </w:pPr>
    </w:p>
    <w:p w:rsidR="008045BC" w:rsidRPr="00D90ECD" w:rsidRDefault="008045BC" w:rsidP="00A650AF">
      <w:r w:rsidRPr="00D90ECD">
        <w:t>U vanbilančnoj evidenciji kao tuđa imovina dana na korištenje evidentirani su: aparati za vodu u vlasništvu  društva „</w:t>
      </w:r>
      <w:proofErr w:type="spellStart"/>
      <w:r w:rsidRPr="00D90ECD">
        <w:t>Vitalis</w:t>
      </w:r>
      <w:proofErr w:type="spellEnd"/>
      <w:r w:rsidRPr="00D90ECD">
        <w:t xml:space="preserve"> voda d.o.o.“</w:t>
      </w:r>
      <w:r w:rsidR="00F442A2" w:rsidRPr="00D90ECD">
        <w:t xml:space="preserve"> </w:t>
      </w:r>
      <w:r w:rsidR="000400CB" w:rsidRPr="00D90ECD">
        <w:t xml:space="preserve">26,00eur </w:t>
      </w:r>
      <w:r w:rsidR="00F442A2" w:rsidRPr="00D90ECD">
        <w:t>i</w:t>
      </w:r>
      <w:r w:rsidRPr="00D90ECD">
        <w:t xml:space="preserve"> </w:t>
      </w:r>
      <w:r w:rsidR="00F442A2" w:rsidRPr="00D90ECD">
        <w:t>slike iz fundusa Muzeja Grada Rovinja</w:t>
      </w:r>
      <w:r w:rsidR="000400CB" w:rsidRPr="00D90ECD">
        <w:t xml:space="preserve"> u iznosu od 14,00eur</w:t>
      </w:r>
      <w:r w:rsidR="00F442A2" w:rsidRPr="00D90ECD">
        <w:t>. U vanbilančnoj evidenciji vode se i fotokopirni aparati u vlasništvu društva Nove istarske knjižare d.o.o.</w:t>
      </w:r>
      <w:r w:rsidR="00A650AF" w:rsidRPr="00D90ECD">
        <w:t xml:space="preserve"> 3,00eur, </w:t>
      </w:r>
      <w:r w:rsidR="00310607">
        <w:t>društva KSU u iznosu od 3</w:t>
      </w:r>
      <w:r w:rsidR="00A650AF" w:rsidRPr="00D90ECD">
        <w:t>,00eur i društva M.G. Electronic d.o.o. 1,00eur</w:t>
      </w:r>
      <w:r w:rsidR="00F442A2" w:rsidRPr="00D90ECD">
        <w:t xml:space="preserve">,  </w:t>
      </w:r>
      <w:r w:rsidRPr="00D90ECD">
        <w:t>kao i osobni automobili u vlasništvu društva „Auto Benussi d.o.o.“,</w:t>
      </w:r>
      <w:r w:rsidR="00F442A2" w:rsidRPr="00D90ECD">
        <w:t xml:space="preserve"> a sve </w:t>
      </w:r>
      <w:r w:rsidRPr="00D90ECD">
        <w:t>u najmu  Istarske županije</w:t>
      </w:r>
      <w:r w:rsidR="000400CB" w:rsidRPr="00D90ECD">
        <w:t xml:space="preserve"> u ukupnom iznosu od 29,00eur</w:t>
      </w:r>
      <w:r w:rsidRPr="00D90ECD">
        <w:t xml:space="preserve">. </w:t>
      </w:r>
    </w:p>
    <w:p w:rsidR="008045BC" w:rsidRPr="00D90ECD" w:rsidRDefault="008045BC" w:rsidP="008045BC"/>
    <w:p w:rsidR="008045BC" w:rsidRPr="00D90ECD" w:rsidRDefault="008045BC" w:rsidP="008045BC">
      <w:r w:rsidRPr="00D90ECD">
        <w:t>Sukladno Pravilniku  o financijskom izvještavanju u proračunskom računovodstvu (NN 3</w:t>
      </w:r>
      <w:r w:rsidR="00C86A83" w:rsidRPr="00D90ECD">
        <w:t>7</w:t>
      </w:r>
      <w:r w:rsidRPr="00D90ECD">
        <w:t>/</w:t>
      </w:r>
      <w:r w:rsidR="00C86A83" w:rsidRPr="00D90ECD">
        <w:t>22)</w:t>
      </w:r>
      <w:r w:rsidRPr="00D90ECD">
        <w:t>, dajemo izjavu da Istarska županija nema niti jedan oblik jamstva.</w:t>
      </w:r>
    </w:p>
    <w:p w:rsidR="008045BC" w:rsidRPr="00D90ECD" w:rsidRDefault="008045BC" w:rsidP="008045BC"/>
    <w:p w:rsidR="00A852CA" w:rsidRPr="00D90ECD" w:rsidRDefault="00A852CA" w:rsidP="008045BC"/>
    <w:p w:rsidR="00A650AF" w:rsidRDefault="00A650AF" w:rsidP="008045BC"/>
    <w:p w:rsidR="00A650AF" w:rsidRDefault="00A650AF" w:rsidP="008045BC"/>
    <w:p w:rsidR="008045BC" w:rsidRPr="00DC617B" w:rsidRDefault="008045BC" w:rsidP="008045BC">
      <w:pPr>
        <w:rPr>
          <w:b/>
        </w:rPr>
      </w:pPr>
      <w:r w:rsidRPr="00DC617B">
        <w:rPr>
          <w:b/>
        </w:rPr>
        <w:lastRenderedPageBreak/>
        <w:t>BILJEŠKE UZ PR-RAS</w:t>
      </w:r>
    </w:p>
    <w:p w:rsidR="008045BC" w:rsidRPr="00DC617B" w:rsidRDefault="008045BC" w:rsidP="008045BC">
      <w:pPr>
        <w:rPr>
          <w:b/>
        </w:rPr>
      </w:pPr>
    </w:p>
    <w:p w:rsidR="008045BC" w:rsidRPr="00DC617B" w:rsidRDefault="008045BC" w:rsidP="008045BC">
      <w:pPr>
        <w:rPr>
          <w:b/>
        </w:rPr>
      </w:pPr>
    </w:p>
    <w:p w:rsidR="008B3AA1" w:rsidRPr="00DC617B" w:rsidRDefault="008B3AA1" w:rsidP="008B3AA1">
      <w:r w:rsidRPr="00DC617B">
        <w:t>Ostvarenje Istarske županije zajedno sa izvještajima Vijeća nacionalnih manjina i predstavnika za navedeno razdoblje realizirano je kako slijedi:</w:t>
      </w:r>
    </w:p>
    <w:p w:rsidR="008B3AA1" w:rsidRPr="00DC617B" w:rsidRDefault="008B3AA1" w:rsidP="008B3AA1"/>
    <w:p w:rsidR="008B3AA1" w:rsidRPr="00DC617B" w:rsidRDefault="008B3AA1" w:rsidP="00F57B04">
      <w:pPr>
        <w:numPr>
          <w:ilvl w:val="0"/>
          <w:numId w:val="17"/>
        </w:numPr>
      </w:pPr>
      <w:r w:rsidRPr="00DC617B">
        <w:t xml:space="preserve">Ostvarenje ukupnih prihoda i primitaka iznosi </w:t>
      </w:r>
      <w:r w:rsidR="00F57B04" w:rsidRPr="00DC617B">
        <w:t>59.902.146,18</w:t>
      </w:r>
      <w:r w:rsidRPr="00DC617B">
        <w:t xml:space="preserve">eur (X678) te ukupnih rashoda i izdataka u iznosu </w:t>
      </w:r>
      <w:r w:rsidR="00F57B04" w:rsidRPr="00DC617B">
        <w:t>60.352.806,42</w:t>
      </w:r>
      <w:r w:rsidRPr="00DC617B">
        <w:t xml:space="preserve">eur (Y345) što je rezultiralo tekućim </w:t>
      </w:r>
      <w:r w:rsidR="00F57B04" w:rsidRPr="00DC617B">
        <w:t>manjkom</w:t>
      </w:r>
      <w:r w:rsidRPr="00DC617B">
        <w:t xml:space="preserve"> prihoda i primitaka u iznosu od </w:t>
      </w:r>
      <w:r w:rsidR="00F57B04" w:rsidRPr="00DC617B">
        <w:t>450.660,24</w:t>
      </w:r>
      <w:r w:rsidRPr="00DC617B">
        <w:t>eur (X005).</w:t>
      </w:r>
    </w:p>
    <w:p w:rsidR="008B3AA1" w:rsidRPr="00DC617B" w:rsidRDefault="008B3AA1" w:rsidP="008B3AA1">
      <w:pPr>
        <w:ind w:left="360"/>
      </w:pPr>
    </w:p>
    <w:p w:rsidR="008B3AA1" w:rsidRPr="00DC617B" w:rsidRDefault="008B3AA1" w:rsidP="008B3AA1">
      <w:r w:rsidRPr="00DC617B">
        <w:t xml:space="preserve">Preneseni višak prihoda i primitaka iz 2022. g. za Istarsku županiju iznosi 12.804.125,43eur. Isti je tijekom 2023. godine za Istarsku županiju korigiran za 0,31eur sukladno Zakonu o uvođenju eura kao službene valute u Republici Hrvatskoj (Narodne novine 57/22 i 88/22). Preneseni višak prihoda i primitaka za Vijeća nacionalnih manjina i predstavnika iznosi </w:t>
      </w:r>
      <w:r w:rsidR="00A47BFC" w:rsidRPr="00DC617B">
        <w:t>14.617,23</w:t>
      </w:r>
      <w:r w:rsidRPr="00DC617B">
        <w:t xml:space="preserve">eur. Ukupni preneseni višak prihoda poslovanja iznosi </w:t>
      </w:r>
      <w:r w:rsidR="00A47BFC" w:rsidRPr="00DC617B">
        <w:t>12.818.742,35</w:t>
      </w:r>
      <w:r w:rsidRPr="00DC617B">
        <w:t xml:space="preserve">eur (šifra 9221-9222). </w:t>
      </w:r>
    </w:p>
    <w:p w:rsidR="008B3AA1" w:rsidRPr="002B23D0" w:rsidRDefault="008B3AA1" w:rsidP="008B3AA1">
      <w:pPr>
        <w:rPr>
          <w:color w:val="2E74B5" w:themeColor="accent1" w:themeShade="BF"/>
        </w:rPr>
      </w:pPr>
    </w:p>
    <w:p w:rsidR="008B3AA1" w:rsidRPr="00B71682" w:rsidRDefault="008B3AA1" w:rsidP="008B3AA1">
      <w:r w:rsidRPr="00B71682">
        <w:t xml:space="preserve">Tekući </w:t>
      </w:r>
      <w:r w:rsidR="000A3150" w:rsidRPr="00B71682">
        <w:t>manjak</w:t>
      </w:r>
      <w:r w:rsidRPr="00B71682">
        <w:t xml:space="preserve"> Istarske županije iznosi </w:t>
      </w:r>
      <w:r w:rsidR="000A3150" w:rsidRPr="00B71682">
        <w:t>441.303,68</w:t>
      </w:r>
      <w:r w:rsidRPr="00B71682">
        <w:t xml:space="preserve">eur, uvećan za tekući </w:t>
      </w:r>
      <w:r w:rsidR="00F57B04" w:rsidRPr="00B71682">
        <w:t>manjak</w:t>
      </w:r>
      <w:r w:rsidRPr="00B71682">
        <w:t xml:space="preserve"> u iznosu od </w:t>
      </w:r>
      <w:r w:rsidR="00F57B04" w:rsidRPr="00B71682">
        <w:t>9.356,56</w:t>
      </w:r>
      <w:r w:rsidRPr="00B71682">
        <w:t xml:space="preserve">eur koji se odnosi na Vijeća nacionalnih manjina i predstavnika rezultira ukupnim tekućim </w:t>
      </w:r>
      <w:r w:rsidR="00F57B04" w:rsidRPr="00B71682">
        <w:t>manjkom</w:t>
      </w:r>
      <w:r w:rsidRPr="00B71682">
        <w:t xml:space="preserve"> Istarske županije i Vijeća nacionalnih manjina i predstavnika u iznosu od </w:t>
      </w:r>
      <w:r w:rsidR="00F57B04" w:rsidRPr="00B71682">
        <w:t>450.660,24</w:t>
      </w:r>
      <w:r w:rsidRPr="00B71682">
        <w:t xml:space="preserve">eur (X005). </w:t>
      </w:r>
    </w:p>
    <w:p w:rsidR="008B3AA1" w:rsidRPr="00B71682" w:rsidRDefault="008B3AA1" w:rsidP="008B3AA1"/>
    <w:p w:rsidR="008B3AA1" w:rsidRPr="00B71682" w:rsidRDefault="008B3AA1" w:rsidP="008B3AA1">
      <w:pPr>
        <w:rPr>
          <w:b/>
        </w:rPr>
      </w:pPr>
      <w:r w:rsidRPr="00B71682">
        <w:t>Sveukupni višak Istarske županije u iznosu od 1</w:t>
      </w:r>
      <w:r w:rsidR="000A3150" w:rsidRPr="00B71682">
        <w:t>2</w:t>
      </w:r>
      <w:r w:rsidRPr="00B71682">
        <w:t>.3</w:t>
      </w:r>
      <w:r w:rsidR="000A3150" w:rsidRPr="00B71682">
        <w:t>62</w:t>
      </w:r>
      <w:r w:rsidRPr="00B71682">
        <w:t>.</w:t>
      </w:r>
      <w:r w:rsidR="000A3150" w:rsidRPr="00B71682">
        <w:t>821</w:t>
      </w:r>
      <w:r w:rsidRPr="00B71682">
        <w:t>,</w:t>
      </w:r>
      <w:r w:rsidR="000A3150" w:rsidRPr="00B71682">
        <w:t>44</w:t>
      </w:r>
      <w:r w:rsidRPr="00B71682">
        <w:t xml:space="preserve">eur uvećan za ukupni tekući višak Vijeća nacionalnih manjina i predstavnika u iznosu od </w:t>
      </w:r>
      <w:r w:rsidR="00011534" w:rsidRPr="00B71682">
        <w:t>5.260,67</w:t>
      </w:r>
      <w:r w:rsidRPr="00B71682">
        <w:t>eur</w:t>
      </w:r>
      <w:r w:rsidRPr="00B71682">
        <w:tab/>
        <w:t xml:space="preserve">predstavlja višak prihoda i primitaka raspoloživih u slijedećem razdoblju u iznosu od </w:t>
      </w:r>
      <w:r w:rsidR="00011534" w:rsidRPr="00B71682">
        <w:t>12.368.082,11</w:t>
      </w:r>
      <w:r w:rsidRPr="00B71682">
        <w:t>eur (9221-9222).</w:t>
      </w:r>
      <w:r w:rsidRPr="00B71682">
        <w:rPr>
          <w:b/>
        </w:rPr>
        <w:t xml:space="preserve"> </w:t>
      </w:r>
    </w:p>
    <w:p w:rsidR="008B3AA1" w:rsidRPr="002B23D0" w:rsidRDefault="008B3AA1" w:rsidP="008B3AA1">
      <w:pPr>
        <w:pStyle w:val="Odlomakpopisa"/>
        <w:rPr>
          <w:b/>
          <w:color w:val="2E74B5" w:themeColor="accent1" w:themeShade="BF"/>
        </w:rPr>
      </w:pPr>
    </w:p>
    <w:p w:rsidR="008B3AA1" w:rsidRPr="002B23D0" w:rsidRDefault="008B3AA1" w:rsidP="008045BC">
      <w:pPr>
        <w:rPr>
          <w:b/>
          <w:color w:val="2E74B5" w:themeColor="accent1" w:themeShade="BF"/>
        </w:rPr>
      </w:pPr>
    </w:p>
    <w:p w:rsidR="008045BC" w:rsidRPr="00A45AC4" w:rsidRDefault="008045BC" w:rsidP="008045BC">
      <w:pPr>
        <w:rPr>
          <w:b/>
        </w:rPr>
      </w:pPr>
      <w:r w:rsidRPr="00A45AC4">
        <w:rPr>
          <w:b/>
        </w:rPr>
        <w:t>Prihodi poslovanja</w:t>
      </w:r>
    </w:p>
    <w:p w:rsidR="008045BC" w:rsidRPr="00A45AC4" w:rsidRDefault="008045BC" w:rsidP="008045BC">
      <w:pPr>
        <w:rPr>
          <w:b/>
        </w:rPr>
      </w:pPr>
    </w:p>
    <w:p w:rsidR="008B3AA1" w:rsidRPr="00A45AC4" w:rsidRDefault="008B3AA1" w:rsidP="008B3AA1">
      <w:r w:rsidRPr="00A45AC4">
        <w:t xml:space="preserve">Prihodi poslovanja (Šifra 6) ostvareni su u iznosu od </w:t>
      </w:r>
      <w:r w:rsidR="00F57B04" w:rsidRPr="00A45AC4">
        <w:t>58.447.051,89</w:t>
      </w:r>
      <w:r w:rsidRPr="00A45AC4">
        <w:t xml:space="preserve">eur ili </w:t>
      </w:r>
      <w:r w:rsidR="00F57B04" w:rsidRPr="00A45AC4">
        <w:t>17,9</w:t>
      </w:r>
      <w:r w:rsidRPr="00A45AC4">
        <w:t xml:space="preserve">% više u odnosu na ostvarenje prethodne godine i od čega se </w:t>
      </w:r>
      <w:r w:rsidR="00F57B04" w:rsidRPr="00A45AC4">
        <w:t>58.429.397,49</w:t>
      </w:r>
      <w:r w:rsidRPr="00A45AC4">
        <w:t xml:space="preserve">eur odnosi na Istarsku županiju, a </w:t>
      </w:r>
      <w:r w:rsidR="00F57B04" w:rsidRPr="00A45AC4">
        <w:t>17.654,40</w:t>
      </w:r>
      <w:r w:rsidRPr="00A45AC4">
        <w:t>eur odnosi se na Vijeća nacionalnih manjina i predstavnika.</w:t>
      </w:r>
    </w:p>
    <w:p w:rsidR="008045BC" w:rsidRPr="00A45AC4" w:rsidRDefault="008045BC" w:rsidP="008045BC"/>
    <w:p w:rsidR="00F57B04" w:rsidRPr="00A45AC4" w:rsidRDefault="00F57B04" w:rsidP="008045BC">
      <w:pPr>
        <w:rPr>
          <w:b/>
        </w:rPr>
      </w:pPr>
    </w:p>
    <w:p w:rsidR="008045BC" w:rsidRPr="00A45AC4" w:rsidRDefault="008045BC" w:rsidP="008045BC">
      <w:pPr>
        <w:rPr>
          <w:b/>
        </w:rPr>
      </w:pPr>
      <w:r w:rsidRPr="00A45AC4">
        <w:rPr>
          <w:b/>
        </w:rPr>
        <w:t>Bilješka broj 5. – Prihodi od poreza (Šifra 61)</w:t>
      </w:r>
    </w:p>
    <w:p w:rsidR="008045BC" w:rsidRPr="00A45AC4" w:rsidRDefault="008045BC" w:rsidP="008045BC">
      <w:pPr>
        <w:rPr>
          <w:b/>
        </w:rPr>
      </w:pPr>
    </w:p>
    <w:p w:rsidR="003E46B4" w:rsidRPr="00A45AC4" w:rsidRDefault="008B3AA1" w:rsidP="008045BC">
      <w:r w:rsidRPr="00A45AC4">
        <w:t xml:space="preserve">Prihodi od poreza ostvareni su u iznosu od </w:t>
      </w:r>
      <w:r w:rsidR="00F57B04" w:rsidRPr="00A45AC4">
        <w:t>35.877.039,44</w:t>
      </w:r>
      <w:r w:rsidRPr="00A45AC4">
        <w:t xml:space="preserve">eur ili </w:t>
      </w:r>
      <w:r w:rsidR="00F57B04" w:rsidRPr="00A45AC4">
        <w:t>3</w:t>
      </w:r>
      <w:r w:rsidRPr="00A45AC4">
        <w:t>2,</w:t>
      </w:r>
      <w:r w:rsidR="00F57B04" w:rsidRPr="00A45AC4">
        <w:t>7</w:t>
      </w:r>
      <w:r w:rsidRPr="00A45AC4">
        <w:t xml:space="preserve">% više u odnosu na ostvarenje prethodne godine. Prihodi od poreza na dohodak iznose </w:t>
      </w:r>
      <w:r w:rsidR="00F57B04" w:rsidRPr="00A45AC4">
        <w:t>32.901.176,43</w:t>
      </w:r>
      <w:r w:rsidRPr="00A45AC4">
        <w:t>eur što predstavlja 3</w:t>
      </w:r>
      <w:r w:rsidR="00F57B04" w:rsidRPr="00A45AC4">
        <w:t>5</w:t>
      </w:r>
      <w:r w:rsidRPr="00A45AC4">
        <w:t>,</w:t>
      </w:r>
      <w:r w:rsidR="00F57B04" w:rsidRPr="00A45AC4">
        <w:t>6</w:t>
      </w:r>
      <w:r w:rsidRPr="00A45AC4">
        <w:t>% više od ostvarenja prethodne godine. Značajno povećanje odnosi se na porez i prirez na dohodak od nesamostalnog rada u iznosu od 3</w:t>
      </w:r>
      <w:r w:rsidR="00F57B04" w:rsidRPr="00A45AC4">
        <w:t>4</w:t>
      </w:r>
      <w:r w:rsidRPr="00A45AC4">
        <w:t>,</w:t>
      </w:r>
      <w:r w:rsidR="00F57B04" w:rsidRPr="00A45AC4">
        <w:t>8</w:t>
      </w:r>
      <w:r w:rsidRPr="00A45AC4">
        <w:t>%</w:t>
      </w:r>
      <w:r w:rsidR="00F63B7C" w:rsidRPr="00A45AC4">
        <w:t>, porez i prirez na dohodak od kapitala u iznosu od 46%</w:t>
      </w:r>
      <w:r w:rsidRPr="00A45AC4">
        <w:t xml:space="preserve"> i na porez i prirez na dohodak po godišnjoj prijavi gdje je zabilježeno značajno povećanje od 3</w:t>
      </w:r>
      <w:r w:rsidR="00F57B04" w:rsidRPr="00A45AC4">
        <w:t>0</w:t>
      </w:r>
      <w:r w:rsidRPr="00A45AC4">
        <w:t>,</w:t>
      </w:r>
      <w:r w:rsidR="00F57B04" w:rsidRPr="00A45AC4">
        <w:t>6</w:t>
      </w:r>
      <w:r w:rsidRPr="00A45AC4">
        <w:t xml:space="preserve">% u odnosu na isto razdoblje prethodne godine. Porez i prirez na dohodak utvrđen u postupku nadzora za prethodne godine povećan je u iznosu od </w:t>
      </w:r>
      <w:r w:rsidR="00F63B7C" w:rsidRPr="00A45AC4">
        <w:t>202.969,76</w:t>
      </w:r>
      <w:r w:rsidRPr="00A45AC4">
        <w:t>eur, a porez na robu i usluge bilježi povećanje od 1</w:t>
      </w:r>
      <w:r w:rsidR="00F63B7C" w:rsidRPr="00A45AC4">
        <w:t>0</w:t>
      </w:r>
      <w:r w:rsidRPr="00A45AC4">
        <w:t>,</w:t>
      </w:r>
      <w:r w:rsidR="00F63B7C" w:rsidRPr="00A45AC4">
        <w:t>9</w:t>
      </w:r>
      <w:r w:rsidRPr="00A45AC4">
        <w:t>%.  Porez na dobitke od igara na sreću i ostali porezi od igara na sreću bilježi isto tako povećanje od 1</w:t>
      </w:r>
      <w:r w:rsidR="00F63B7C" w:rsidRPr="00A45AC4">
        <w:t>3</w:t>
      </w:r>
      <w:r w:rsidRPr="00A45AC4">
        <w:t>,5%.</w:t>
      </w:r>
    </w:p>
    <w:p w:rsidR="00F63B7C" w:rsidRPr="00A45AC4" w:rsidRDefault="00F63B7C" w:rsidP="008045BC"/>
    <w:p w:rsidR="008045BC" w:rsidRPr="00A45AC4" w:rsidRDefault="008045BC" w:rsidP="008045BC">
      <w:pPr>
        <w:rPr>
          <w:b/>
        </w:rPr>
      </w:pPr>
    </w:p>
    <w:p w:rsidR="008045BC" w:rsidRPr="00A45AC4" w:rsidRDefault="008045BC" w:rsidP="008045BC">
      <w:pPr>
        <w:rPr>
          <w:b/>
        </w:rPr>
      </w:pPr>
      <w:r w:rsidRPr="00A45AC4">
        <w:rPr>
          <w:b/>
        </w:rPr>
        <w:t xml:space="preserve">Bilješka broj 6. – Pomoći iz inozemstva i  subjekata unutar opće države (Šifra 63) </w:t>
      </w:r>
    </w:p>
    <w:p w:rsidR="008045BC" w:rsidRPr="00A45AC4" w:rsidRDefault="008045BC" w:rsidP="008045BC">
      <w:pPr>
        <w:rPr>
          <w:b/>
        </w:rPr>
      </w:pPr>
    </w:p>
    <w:p w:rsidR="00970225" w:rsidRPr="00A45AC4" w:rsidRDefault="00970225" w:rsidP="008045BC">
      <w:pPr>
        <w:rPr>
          <w:b/>
        </w:rPr>
      </w:pPr>
    </w:p>
    <w:p w:rsidR="008B3AA1" w:rsidRPr="00A45AC4" w:rsidRDefault="008B3AA1" w:rsidP="008B3AA1">
      <w:r w:rsidRPr="00A45AC4">
        <w:t xml:space="preserve">Pomoći iz inozemstva i subjekata unutar opće države iznose </w:t>
      </w:r>
      <w:r w:rsidR="00B71682" w:rsidRPr="00A45AC4">
        <w:t>17.337.989,65</w:t>
      </w:r>
      <w:r w:rsidRPr="00A45AC4">
        <w:t xml:space="preserve">eur i predstavljaju smanjenje od </w:t>
      </w:r>
      <w:r w:rsidR="002B23D0" w:rsidRPr="00A45AC4">
        <w:t>12,</w:t>
      </w:r>
      <w:r w:rsidR="00D3607E" w:rsidRPr="00A45AC4">
        <w:t>0</w:t>
      </w:r>
      <w:r w:rsidRPr="00A45AC4">
        <w:t xml:space="preserve">% u odnosu na prethodnu godinu. Na </w:t>
      </w:r>
      <w:r w:rsidR="00D3607E" w:rsidRPr="00A45AC4">
        <w:t xml:space="preserve">Istarsku županiju se odnosi 17.331.070,35eur, a na </w:t>
      </w:r>
      <w:r w:rsidRPr="00A45AC4">
        <w:t xml:space="preserve">Vijeća nacionalnih manjina i predstavnika odnosi se 6.919,30eur. </w:t>
      </w:r>
    </w:p>
    <w:p w:rsidR="008B3AA1" w:rsidRPr="00A45AC4" w:rsidRDefault="008B3AA1" w:rsidP="008B3AA1"/>
    <w:p w:rsidR="008B3AA1" w:rsidRPr="004F6F69" w:rsidRDefault="008B3AA1" w:rsidP="008B3AA1">
      <w:r w:rsidRPr="004F6F69">
        <w:lastRenderedPageBreak/>
        <w:t xml:space="preserve">Tekuće pomoći od međunarodnih organizacija te institucija i tijela EU iznose </w:t>
      </w:r>
      <w:r w:rsidR="00A41AAF" w:rsidRPr="004F6F69">
        <w:t>272.407,24</w:t>
      </w:r>
      <w:r w:rsidRPr="004F6F69">
        <w:t>eur</w:t>
      </w:r>
      <w:r w:rsidR="00A41AAF" w:rsidRPr="004F6F69">
        <w:t xml:space="preserve"> i bilježe smanjenje od 46,2%. Na Istarsku županiju se odnosi 265.487,94eur </w:t>
      </w:r>
      <w:r w:rsidRPr="004F6F69">
        <w:t xml:space="preserve"> a odnose se na tekuće pomoći od institucija i tijela EU za projekt sanacije sakralnih objekta venetskog područja, </w:t>
      </w:r>
      <w:r w:rsidR="002B23D0" w:rsidRPr="004F6F69">
        <w:t xml:space="preserve">projekt uređenja bunkera u park šumi </w:t>
      </w:r>
      <w:proofErr w:type="spellStart"/>
      <w:r w:rsidR="002B23D0" w:rsidRPr="004F6F69">
        <w:t>Šijana</w:t>
      </w:r>
      <w:proofErr w:type="spellEnd"/>
      <w:r w:rsidR="002B23D0" w:rsidRPr="004F6F69">
        <w:t xml:space="preserve">, </w:t>
      </w:r>
      <w:r w:rsidRPr="004F6F69">
        <w:t xml:space="preserve">te za projekte </w:t>
      </w:r>
      <w:proofErr w:type="spellStart"/>
      <w:r w:rsidRPr="004F6F69">
        <w:t>SmArtFish</w:t>
      </w:r>
      <w:proofErr w:type="spellEnd"/>
      <w:r w:rsidRPr="004F6F69">
        <w:t xml:space="preserve">, ARGOS, </w:t>
      </w:r>
      <w:proofErr w:type="spellStart"/>
      <w:r w:rsidRPr="004F6F69">
        <w:t>Firespill</w:t>
      </w:r>
      <w:proofErr w:type="spellEnd"/>
      <w:r w:rsidRPr="004F6F69">
        <w:t>, i +RESILIENT.</w:t>
      </w:r>
    </w:p>
    <w:p w:rsidR="008B3AA1" w:rsidRPr="002B23D0" w:rsidRDefault="008B3AA1" w:rsidP="008B3AA1">
      <w:pPr>
        <w:rPr>
          <w:rFonts w:cs="Arial"/>
          <w:color w:val="2E74B5" w:themeColor="accent1" w:themeShade="BF"/>
          <w:sz w:val="16"/>
          <w:szCs w:val="16"/>
          <w:lang w:eastAsia="hr-HR"/>
        </w:rPr>
      </w:pPr>
    </w:p>
    <w:p w:rsidR="00E941ED" w:rsidRPr="00880EA8" w:rsidRDefault="00E941ED" w:rsidP="00E941ED">
      <w:r w:rsidRPr="00A45AC4">
        <w:t>P</w:t>
      </w:r>
      <w:r w:rsidR="008B3AA1" w:rsidRPr="00A45AC4">
        <w:t xml:space="preserve">omoći proračunu iz drugih proračuna i izvanproračunskim korisnicima  u iznosu od </w:t>
      </w:r>
      <w:r w:rsidR="002B23D0" w:rsidRPr="00A45AC4">
        <w:t>6.842.229,72</w:t>
      </w:r>
      <w:r w:rsidR="008B3AA1" w:rsidRPr="00A45AC4">
        <w:t>eur odnose se na</w:t>
      </w:r>
      <w:r w:rsidRPr="00A45AC4">
        <w:t xml:space="preserve"> tekuće pomoći proračunu iz drugih proračuna i izvanproračunskim korisnicima u iznosu od 6.784.985,</w:t>
      </w:r>
      <w:r w:rsidRPr="00880EA8">
        <w:t xml:space="preserve">65eur i </w:t>
      </w:r>
      <w:r w:rsidR="00880EA8">
        <w:t>k</w:t>
      </w:r>
      <w:r w:rsidRPr="00880EA8">
        <w:t>apitalne pomoći proračunu iz drugih proračuna i izvanproračunskim korisnicima u iznosu od 57.244,07eur</w:t>
      </w:r>
    </w:p>
    <w:p w:rsidR="00E941ED" w:rsidRPr="00A45AC4" w:rsidRDefault="00E941ED" w:rsidP="00E941ED">
      <w:pPr>
        <w:rPr>
          <w:rFonts w:cs="Arial"/>
          <w:sz w:val="18"/>
          <w:szCs w:val="18"/>
          <w:lang w:eastAsia="hr-HR"/>
        </w:rPr>
      </w:pPr>
    </w:p>
    <w:p w:rsidR="008B3AA1" w:rsidRPr="00A45AC4" w:rsidRDefault="00E941ED" w:rsidP="008B3AA1">
      <w:r w:rsidRPr="00A45AC4">
        <w:t xml:space="preserve">Tekuće pomoći proračunu iz drugih proračuna i izvanproračunskim korisnicima odnose se na  </w:t>
      </w:r>
      <w:r w:rsidR="008B3AA1" w:rsidRPr="00A45AC4">
        <w:t xml:space="preserve">pomoći od Ministarstva znanosti  i obrazovanja za prijevoz učenika srednjih škola, Ministarstva kulture za projekt Festival multikulturalnosti, </w:t>
      </w:r>
      <w:r w:rsidRPr="00A45AC4">
        <w:t xml:space="preserve">Ministarstva mora, prometa i infrastrukture za određivanje granica pomorskog dobra, </w:t>
      </w:r>
      <w:r w:rsidR="008B3AA1" w:rsidRPr="00A45AC4">
        <w:t>Ministarstva pravosuđa i uprave za troškove povjerenih poslova Ureda državne uprave, Ministarstva hrvatskih branitelja za troškove ukopa, Ministarstva regionalnog razvoja i Fonda EU za projekt Dobra energija</w:t>
      </w:r>
      <w:r w:rsidR="002B23D0" w:rsidRPr="00A45AC4">
        <w:t xml:space="preserve"> i MOZAIK 5</w:t>
      </w:r>
      <w:r w:rsidR="008B3AA1" w:rsidRPr="00A45AC4">
        <w:t xml:space="preserve">, Ministarstva za demografiju, mlade i socijalnu politiku, na prihode od gradova i općina Istarske županije za Fond za poljoprivredu Istarske županije i za program navodnjavanja </w:t>
      </w:r>
      <w:proofErr w:type="spellStart"/>
      <w:r w:rsidR="008B3AA1" w:rsidRPr="00A45AC4">
        <w:t>Bujštine</w:t>
      </w:r>
      <w:proofErr w:type="spellEnd"/>
      <w:r w:rsidR="008B3AA1" w:rsidRPr="00A45AC4">
        <w:t xml:space="preserve"> i </w:t>
      </w:r>
      <w:proofErr w:type="spellStart"/>
      <w:r w:rsidR="008B3AA1" w:rsidRPr="00A45AC4">
        <w:t>Poreštine</w:t>
      </w:r>
      <w:proofErr w:type="spellEnd"/>
      <w:r w:rsidR="008B3AA1" w:rsidRPr="00A45AC4">
        <w:t xml:space="preserve">. Unutar ovih prihoda evidentirani su i prihodi od gradova i općina Istarske županije za sufinanciranje izgradnje ŽCGO </w:t>
      </w:r>
      <w:proofErr w:type="spellStart"/>
      <w:r w:rsidR="008B3AA1" w:rsidRPr="00A45AC4">
        <w:t>Kaštijun</w:t>
      </w:r>
      <w:proofErr w:type="spellEnd"/>
      <w:r w:rsidR="008B3AA1" w:rsidRPr="00A45AC4">
        <w:t xml:space="preserve"> i OB Pula i prihodi od općina na području Grada Pule za sufinanciranje troškova legalizacije kao i Grada Buje za program promicanja dvojezičnosti i očuvanja talijanskog jezika. </w:t>
      </w:r>
    </w:p>
    <w:p w:rsidR="00E941ED" w:rsidRPr="00A45AC4" w:rsidRDefault="00E941ED" w:rsidP="008B3AA1"/>
    <w:p w:rsidR="00E941ED" w:rsidRPr="00A45AC4" w:rsidRDefault="00E941ED" w:rsidP="00E941ED">
      <w:r w:rsidRPr="00A45AC4">
        <w:t xml:space="preserve">Kapitalne pomoći proračunu iz drugih proračuna i izvanproračunskim korisnicima odnose se na pomoći  Ministarstva regionalnog razvoja i Fonda EU za obnovu područne škole </w:t>
      </w:r>
      <w:proofErr w:type="spellStart"/>
      <w:r w:rsidRPr="00A45AC4">
        <w:t>Martinski</w:t>
      </w:r>
      <w:proofErr w:type="spellEnd"/>
      <w:r w:rsidRPr="00A45AC4">
        <w:t xml:space="preserve"> i za projekt Dobra energija.</w:t>
      </w:r>
    </w:p>
    <w:p w:rsidR="008B3AA1" w:rsidRDefault="008B3AA1" w:rsidP="008B3AA1"/>
    <w:p w:rsidR="008B3AA1" w:rsidRPr="009228BB" w:rsidRDefault="008B3AA1" w:rsidP="008B3AA1">
      <w:pPr>
        <w:rPr>
          <w:color w:val="2E74B5" w:themeColor="accent1" w:themeShade="BF"/>
        </w:rPr>
      </w:pPr>
      <w:r w:rsidRPr="00CC5952">
        <w:t xml:space="preserve">Pomoći izravnanja za decentralizirane funkcije izvršene su u iznosu od </w:t>
      </w:r>
      <w:r w:rsidR="00102269" w:rsidRPr="00CC5952">
        <w:t>5.712.207,47</w:t>
      </w:r>
      <w:r w:rsidRPr="00CC5952">
        <w:t>eur.</w:t>
      </w:r>
    </w:p>
    <w:p w:rsidR="008B3AA1" w:rsidRPr="009228BB" w:rsidRDefault="008B3AA1" w:rsidP="008B3AA1">
      <w:pPr>
        <w:rPr>
          <w:color w:val="2E74B5" w:themeColor="accent1" w:themeShade="BF"/>
        </w:rPr>
      </w:pPr>
    </w:p>
    <w:p w:rsidR="008B3AA1" w:rsidRPr="00CC5952" w:rsidRDefault="008B3AA1" w:rsidP="008B3AA1">
      <w:r w:rsidRPr="00CC5952">
        <w:t xml:space="preserve">Tekuće pomoći temeljem prijenosa  EU sredstava izvršene su u iznosu od </w:t>
      </w:r>
      <w:r w:rsidR="00102269" w:rsidRPr="00CC5952">
        <w:t xml:space="preserve">1.174.352,44 </w:t>
      </w:r>
      <w:proofErr w:type="spellStart"/>
      <w:r w:rsidR="008A2054" w:rsidRPr="00CC5952">
        <w:t>eur</w:t>
      </w:r>
      <w:proofErr w:type="spellEnd"/>
      <w:r w:rsidR="008A2054" w:rsidRPr="00CC5952">
        <w:t xml:space="preserve"> i </w:t>
      </w:r>
      <w:r w:rsidR="008A2054" w:rsidRPr="00CC11E9">
        <w:t>odnose se na povrat prihoda</w:t>
      </w:r>
      <w:r w:rsidR="00102269" w:rsidRPr="00CC11E9">
        <w:t xml:space="preserve"> za EU projekte proračunskih korisnika</w:t>
      </w:r>
      <w:r w:rsidR="008A2054" w:rsidRPr="00CC11E9">
        <w:t xml:space="preserve"> JU Natura </w:t>
      </w:r>
      <w:proofErr w:type="spellStart"/>
      <w:r w:rsidR="008A2054" w:rsidRPr="00CC11E9">
        <w:t>Histrica</w:t>
      </w:r>
      <w:proofErr w:type="spellEnd"/>
      <w:r w:rsidR="008A2054" w:rsidRPr="00CC11E9">
        <w:t xml:space="preserve"> za projekte KLIM, CREW I GEOISTRA, zatim za prihode iz Državnog proračuna za projekte </w:t>
      </w:r>
      <w:r w:rsidR="00102269" w:rsidRPr="00CC11E9">
        <w:t xml:space="preserve"> </w:t>
      </w:r>
      <w:r w:rsidRPr="00CC11E9">
        <w:t>MOZAIK 5</w:t>
      </w:r>
      <w:r w:rsidR="00102269" w:rsidRPr="00CC11E9">
        <w:t xml:space="preserve"> i 6, i tekuću pomoć </w:t>
      </w:r>
      <w:r w:rsidR="008A2054" w:rsidRPr="00CC11E9">
        <w:t xml:space="preserve">Dubrovačko neretvanske županije </w:t>
      </w:r>
      <w:r w:rsidR="00102269" w:rsidRPr="00CC11E9">
        <w:t>za projekt TAKE IT SLOW.</w:t>
      </w:r>
    </w:p>
    <w:p w:rsidR="00CC5952" w:rsidRPr="00CC5952" w:rsidRDefault="00CC5952" w:rsidP="008B3AA1"/>
    <w:p w:rsidR="008B3AA1" w:rsidRPr="00CC5952" w:rsidRDefault="008A2054" w:rsidP="008B3AA1">
      <w:r w:rsidRPr="00CC5952">
        <w:t>Kapitalna pomoć temeljem prijenosa EU sredstava odnosi se na pomoć Ministarstva regionalnog razvoja i EU fondova za projekt KLIK i na kapitalnu pomoć iz Državnog proračuna za projekt Dobra energija</w:t>
      </w:r>
      <w:r w:rsidR="00880EA8">
        <w:t xml:space="preserve"> i za 2023. godinu iznosi 3.245.008,02eur</w:t>
      </w:r>
      <w:r w:rsidRPr="00CC5952">
        <w:t>.</w:t>
      </w:r>
    </w:p>
    <w:p w:rsidR="008A2054" w:rsidRPr="00CC5952" w:rsidRDefault="008A2054" w:rsidP="008B3AA1"/>
    <w:p w:rsidR="008A2054" w:rsidRPr="00CC5952" w:rsidRDefault="008A2054" w:rsidP="008B3AA1"/>
    <w:p w:rsidR="008B3AA1" w:rsidRPr="00CC5952" w:rsidRDefault="008B3AA1" w:rsidP="008B3AA1">
      <w:r w:rsidRPr="00CC5952">
        <w:t xml:space="preserve">Prijenosi sredstava između proračunskih korisnika istog proračuna iznose </w:t>
      </w:r>
      <w:r w:rsidR="008A2054" w:rsidRPr="00CC5952">
        <w:t>27.037,89</w:t>
      </w:r>
      <w:r w:rsidRPr="00CC5952">
        <w:t xml:space="preserve">eur i odnose se na prijenos od Škole za turizam, ugostiteljstvo i turizam u Puli za projekt KLIK </w:t>
      </w:r>
      <w:r w:rsidR="008A2054" w:rsidRPr="00CC5952">
        <w:t>ERDF</w:t>
      </w:r>
      <w:r w:rsidRPr="00CC5952">
        <w:t>.</w:t>
      </w:r>
    </w:p>
    <w:p w:rsidR="008B3AA1" w:rsidRPr="00B10E0B" w:rsidRDefault="008B3AA1" w:rsidP="008B3AA1"/>
    <w:p w:rsidR="008045BC" w:rsidRPr="009A1833" w:rsidRDefault="008045BC" w:rsidP="008045BC"/>
    <w:p w:rsidR="008045BC" w:rsidRPr="00AF40E8" w:rsidRDefault="008045BC" w:rsidP="008045BC">
      <w:pPr>
        <w:rPr>
          <w:b/>
        </w:rPr>
      </w:pPr>
      <w:r w:rsidRPr="00AF40E8">
        <w:rPr>
          <w:b/>
        </w:rPr>
        <w:t>Bilješka broj 7. -  Prihodi od imovine (Šifra 64)</w:t>
      </w:r>
    </w:p>
    <w:p w:rsidR="008045BC" w:rsidRPr="00AF40E8" w:rsidRDefault="008045BC" w:rsidP="008045BC">
      <w:pPr>
        <w:rPr>
          <w:b/>
        </w:rPr>
      </w:pPr>
    </w:p>
    <w:p w:rsidR="008045BC" w:rsidRPr="00AF40E8" w:rsidRDefault="008045BC" w:rsidP="008045BC">
      <w:pPr>
        <w:rPr>
          <w:b/>
        </w:rPr>
      </w:pPr>
    </w:p>
    <w:p w:rsidR="008B3AA1" w:rsidRPr="00AF40E8" w:rsidRDefault="008B3AA1" w:rsidP="008B3AA1">
      <w:r w:rsidRPr="00AF40E8">
        <w:t xml:space="preserve">Prihodi od imovine iznose </w:t>
      </w:r>
      <w:r w:rsidR="009228BB" w:rsidRPr="00AF40E8">
        <w:t>2.072.854,96</w:t>
      </w:r>
      <w:r w:rsidRPr="00AF40E8">
        <w:t xml:space="preserve">eur i iskazuju smanjenje od </w:t>
      </w:r>
      <w:r w:rsidR="009228BB" w:rsidRPr="00AF40E8">
        <w:t>6,7</w:t>
      </w:r>
      <w:r w:rsidRPr="00AF40E8">
        <w:t xml:space="preserve">% u odnosu na prethodnu godinu. Na Istarsku županiju se odnosi </w:t>
      </w:r>
      <w:r w:rsidR="009228BB" w:rsidRPr="00AF40E8">
        <w:t>2.072.854,84</w:t>
      </w:r>
      <w:r w:rsidRPr="00AF40E8">
        <w:t>eur, a na Vijeća nacionalnih manjina i predstavnika odnosi se 0,12eur.</w:t>
      </w:r>
    </w:p>
    <w:p w:rsidR="008B3AA1" w:rsidRPr="00AF40E8" w:rsidRDefault="008B3AA1" w:rsidP="008B3AA1"/>
    <w:p w:rsidR="008B3AA1" w:rsidRPr="00AF40E8" w:rsidRDefault="008B3AA1" w:rsidP="008B3AA1">
      <w:r w:rsidRPr="00AF40E8">
        <w:t xml:space="preserve">Prihodi od financijske imovine iznose </w:t>
      </w:r>
      <w:r w:rsidR="009228BB" w:rsidRPr="00AF40E8">
        <w:t>272.621,27</w:t>
      </w:r>
      <w:r w:rsidRPr="00AF40E8">
        <w:t>eur i odnose se na kamate na oročena sredstva</w:t>
      </w:r>
      <w:r w:rsidR="009228BB" w:rsidRPr="00AF40E8">
        <w:t xml:space="preserve"> i depozite u iznosu od 119.334,</w:t>
      </w:r>
      <w:r w:rsidR="00AF40E8" w:rsidRPr="00AF40E8">
        <w:t>18</w:t>
      </w:r>
      <w:r w:rsidR="009228BB" w:rsidRPr="00AF40E8">
        <w:t>eur</w:t>
      </w:r>
      <w:r w:rsidRPr="00AF40E8">
        <w:t xml:space="preserve"> i prihode od zateznih kamata.</w:t>
      </w:r>
    </w:p>
    <w:p w:rsidR="00BE57A7" w:rsidRPr="00AF40E8" w:rsidRDefault="00BE57A7" w:rsidP="008B3AA1"/>
    <w:p w:rsidR="00BE57A7" w:rsidRPr="001A3280" w:rsidRDefault="00BE57A7" w:rsidP="008B3AA1">
      <w:r w:rsidRPr="001A3280">
        <w:lastRenderedPageBreak/>
        <w:t>Prihodi iz dobiti trgovačkih društava, kreditnih i ostalih financijskih institucija po posebnim propisima iznose 118.404,00eur i bilježe smanjenje od 1%.</w:t>
      </w:r>
    </w:p>
    <w:p w:rsidR="008B3AA1" w:rsidRPr="001A3280" w:rsidRDefault="008B3AA1" w:rsidP="008B3AA1"/>
    <w:p w:rsidR="008B3AA1" w:rsidRPr="001A3280" w:rsidRDefault="008B3AA1" w:rsidP="008B3AA1">
      <w:r w:rsidRPr="001A3280">
        <w:t xml:space="preserve">Prihodi od nefinancijske imovine naplaćeni su u iznosu od </w:t>
      </w:r>
      <w:r w:rsidR="00BE57A7" w:rsidRPr="001A3280">
        <w:t>1.368.947,78</w:t>
      </w:r>
      <w:r w:rsidRPr="001A3280">
        <w:t>eur ili 2</w:t>
      </w:r>
      <w:r w:rsidR="00BE57A7" w:rsidRPr="001A3280">
        <w:t>0</w:t>
      </w:r>
      <w:r w:rsidRPr="001A3280">
        <w:t>,</w:t>
      </w:r>
      <w:r w:rsidR="00BE57A7" w:rsidRPr="001A3280">
        <w:t>7</w:t>
      </w:r>
      <w:r w:rsidRPr="001A3280">
        <w:t xml:space="preserve">% manje od prethodne godine. </w:t>
      </w:r>
    </w:p>
    <w:p w:rsidR="008B3AA1" w:rsidRPr="00627FD5" w:rsidRDefault="008B3AA1" w:rsidP="008B3AA1">
      <w:pPr>
        <w:rPr>
          <w:color w:val="2E74B5" w:themeColor="accent1" w:themeShade="BF"/>
        </w:rPr>
      </w:pPr>
    </w:p>
    <w:p w:rsidR="008B3AA1" w:rsidRPr="00A106AD" w:rsidRDefault="008B3AA1" w:rsidP="008B3AA1">
      <w:r w:rsidRPr="00A106AD">
        <w:t xml:space="preserve">Naknade za koncesije su ostvarene u iznosu od </w:t>
      </w:r>
      <w:r w:rsidR="00197FCF" w:rsidRPr="00A106AD">
        <w:t>962.775,43</w:t>
      </w:r>
      <w:r w:rsidRPr="00A106AD">
        <w:t xml:space="preserve">eur od čega najviše otpada na koncesije za pomorsko dobro </w:t>
      </w:r>
      <w:r w:rsidR="00197FCF" w:rsidRPr="00A106AD">
        <w:t>871.335,43</w:t>
      </w:r>
      <w:r w:rsidRPr="00A106AD">
        <w:t xml:space="preserve">eur. Na naknadu za gospodarsko korištenje voda otpada 3.047,20eur, na naknadu za uporabu pomorskog dobra-male brodice </w:t>
      </w:r>
      <w:r w:rsidR="00197FCF" w:rsidRPr="00A106AD">
        <w:t>69</w:t>
      </w:r>
      <w:r w:rsidRPr="00A106AD">
        <w:t>.</w:t>
      </w:r>
      <w:r w:rsidR="00197FCF" w:rsidRPr="00A106AD">
        <w:t>062,01</w:t>
      </w:r>
      <w:r w:rsidRPr="00A106AD">
        <w:t>eur, na naknadu za određivanje granica pomorskog dobra otpada 3.371,13eur. Prihodi od trgovačkog društva Plinara d.o.o. za koncesiju za plin iznose 15.538,00eur, a naknada za koncesiju na turističkom zemljištu iznosi 421,66eur.</w:t>
      </w:r>
    </w:p>
    <w:p w:rsidR="008B3AA1" w:rsidRPr="00A106AD" w:rsidRDefault="008B3AA1" w:rsidP="008B3AA1"/>
    <w:p w:rsidR="008B3AA1" w:rsidRPr="00A106AD" w:rsidRDefault="008B3AA1" w:rsidP="008B3AA1">
      <w:r w:rsidRPr="00A106AD">
        <w:t xml:space="preserve">Na prihode od zakupa i iznajmljivanja imovine otpada </w:t>
      </w:r>
      <w:r w:rsidR="00627FD5" w:rsidRPr="00A106AD">
        <w:t>69</w:t>
      </w:r>
      <w:r w:rsidRPr="00A106AD">
        <w:t>.</w:t>
      </w:r>
      <w:r w:rsidR="00627FD5" w:rsidRPr="00A106AD">
        <w:t>571,46e</w:t>
      </w:r>
      <w:r w:rsidRPr="00A106AD">
        <w:t xml:space="preserve">ur i to na prihode od zakupa poljoprivrednog zemljišta u vlasništvu države. </w:t>
      </w:r>
    </w:p>
    <w:p w:rsidR="008B3AA1" w:rsidRPr="00A106AD" w:rsidRDefault="008B3AA1" w:rsidP="008B3AA1"/>
    <w:p w:rsidR="008B3AA1" w:rsidRPr="00A106AD" w:rsidRDefault="008B3AA1" w:rsidP="008B3AA1">
      <w:r w:rsidRPr="00A106AD">
        <w:t>Naknada za korištenje nefinancijske imovine iznosi 2</w:t>
      </w:r>
      <w:r w:rsidR="00F80573" w:rsidRPr="00A106AD">
        <w:t>81</w:t>
      </w:r>
      <w:r w:rsidRPr="00A106AD">
        <w:t>.4</w:t>
      </w:r>
      <w:r w:rsidR="00F80573" w:rsidRPr="00A106AD">
        <w:t>33</w:t>
      </w:r>
      <w:r w:rsidRPr="00A106AD">
        <w:t>,</w:t>
      </w:r>
      <w:r w:rsidR="00F80573" w:rsidRPr="00A106AD">
        <w:t>9</w:t>
      </w:r>
      <w:r w:rsidRPr="00A106AD">
        <w:t xml:space="preserve">4eur, a odnosi se na naknadu za otkopanu količinu </w:t>
      </w:r>
      <w:proofErr w:type="spellStart"/>
      <w:r w:rsidRPr="00A106AD">
        <w:t>neenergetskih</w:t>
      </w:r>
      <w:proofErr w:type="spellEnd"/>
      <w:r w:rsidRPr="00A106AD">
        <w:t xml:space="preserve"> minerala koja je ostvarena u iznosu od </w:t>
      </w:r>
      <w:r w:rsidR="00F80573" w:rsidRPr="00A106AD">
        <w:t>208.269,99</w:t>
      </w:r>
      <w:r w:rsidRPr="00A106AD">
        <w:t xml:space="preserve">eur, naknada za osnovano pravo građenja Martin Horvat Rovinj u iznosu od 3.090,00eur, naknada za prenamjenu poljoprivrednog zemljišta u građevinsko zemljište </w:t>
      </w:r>
      <w:r w:rsidR="00F80573" w:rsidRPr="00A106AD">
        <w:t>512,03</w:t>
      </w:r>
      <w:r w:rsidRPr="00A106AD">
        <w:t xml:space="preserve">eur, </w:t>
      </w:r>
      <w:proofErr w:type="spellStart"/>
      <w:r w:rsidRPr="00A106AD">
        <w:t>lovozakupninu</w:t>
      </w:r>
      <w:proofErr w:type="spellEnd"/>
      <w:r w:rsidRPr="00A106AD">
        <w:t xml:space="preserve"> ostvarenu u iznosu od 2</w:t>
      </w:r>
      <w:r w:rsidR="00F80573" w:rsidRPr="00A106AD">
        <w:t>0</w:t>
      </w:r>
      <w:r w:rsidRPr="00A106AD">
        <w:t>.</w:t>
      </w:r>
      <w:r w:rsidR="00F80573" w:rsidRPr="00A106AD">
        <w:t>324,74</w:t>
      </w:r>
      <w:r w:rsidRPr="00A106AD">
        <w:t xml:space="preserve">eur, koncesijsko pravo lova u iznosu od </w:t>
      </w:r>
      <w:r w:rsidR="00F80573" w:rsidRPr="00A106AD">
        <w:t>12.223,58</w:t>
      </w:r>
      <w:r w:rsidRPr="00A106AD">
        <w:t xml:space="preserve">eur, naknada za navodnjavanje SJN </w:t>
      </w:r>
      <w:proofErr w:type="spellStart"/>
      <w:r w:rsidRPr="00A106AD">
        <w:t>Valtura</w:t>
      </w:r>
      <w:proofErr w:type="spellEnd"/>
      <w:r w:rsidRPr="00A106AD">
        <w:t xml:space="preserve"> 37.013,60eur.</w:t>
      </w:r>
    </w:p>
    <w:p w:rsidR="008B3AA1" w:rsidRPr="00A106AD" w:rsidRDefault="008B3AA1" w:rsidP="008B3AA1"/>
    <w:p w:rsidR="008B3AA1" w:rsidRPr="00A106AD" w:rsidRDefault="008B3AA1" w:rsidP="008B3AA1">
      <w:r w:rsidRPr="00A106AD">
        <w:t xml:space="preserve">Ostali prihodi od nefinancijske imovine izvršeni su u iznosu od </w:t>
      </w:r>
      <w:r w:rsidR="00F80573" w:rsidRPr="00A106AD">
        <w:t>55.166,95</w:t>
      </w:r>
      <w:r w:rsidRPr="00A106AD">
        <w:t>eur i odnose se na naknade od legalizacije.</w:t>
      </w:r>
    </w:p>
    <w:p w:rsidR="008B3AA1" w:rsidRPr="00A106AD" w:rsidRDefault="008B3AA1" w:rsidP="008B3AA1"/>
    <w:p w:rsidR="008B3AA1" w:rsidRPr="00A106AD" w:rsidRDefault="008B3AA1" w:rsidP="008B3AA1">
      <w:r w:rsidRPr="00A106AD">
        <w:t xml:space="preserve">Prihodi od kamata na dane zajmove izvršeni su u ukupnom iznosu od </w:t>
      </w:r>
      <w:r w:rsidR="00F9297E" w:rsidRPr="00A106AD">
        <w:t>431.285,79</w:t>
      </w:r>
      <w:r w:rsidRPr="00A106AD">
        <w:t>eur i odnose se na prihode od kamata od trgovačkog društva Plinare d.o.o.</w:t>
      </w:r>
      <w:r w:rsidR="00F9297E" w:rsidRPr="00A106AD">
        <w:t xml:space="preserve"> u iznosu od 229.573,60eur</w:t>
      </w:r>
      <w:r w:rsidRPr="00A106AD">
        <w:t xml:space="preserve"> i na prihode od kamata na dane zajmove putem Fonda za razvoj poljoprivrede Istarske županije</w:t>
      </w:r>
      <w:r w:rsidR="00F9297E" w:rsidRPr="00A106AD">
        <w:t xml:space="preserve"> u iznosu od 201.712,19eur.</w:t>
      </w:r>
    </w:p>
    <w:p w:rsidR="008B3AA1" w:rsidRPr="00A106AD" w:rsidRDefault="008B3AA1" w:rsidP="008B3AA1"/>
    <w:p w:rsidR="008B3AA1" w:rsidRPr="00A106AD" w:rsidRDefault="008B3AA1" w:rsidP="008B3AA1"/>
    <w:p w:rsidR="008045BC" w:rsidRPr="00A106AD" w:rsidRDefault="008045BC" w:rsidP="008B3AA1">
      <w:pPr>
        <w:rPr>
          <w:b/>
        </w:rPr>
      </w:pPr>
      <w:r w:rsidRPr="00A106AD">
        <w:rPr>
          <w:b/>
        </w:rPr>
        <w:t>Bilješka broj 8. – Prihodi od administrativnih pristojbi i po posebnim propisima (Šifra 65 i 652)</w:t>
      </w:r>
    </w:p>
    <w:p w:rsidR="008045BC" w:rsidRPr="00A106AD" w:rsidRDefault="008045BC" w:rsidP="008045BC">
      <w:pPr>
        <w:rPr>
          <w:b/>
        </w:rPr>
      </w:pPr>
    </w:p>
    <w:p w:rsidR="008B3AA1" w:rsidRPr="00A106AD" w:rsidRDefault="008B3AA1" w:rsidP="008B3AA1">
      <w:r w:rsidRPr="00A106AD">
        <w:t xml:space="preserve">Na prihode od upravnih i administrativnih pristojbi, pristojbi po posebnim propisima i naknada otpada </w:t>
      </w:r>
      <w:r w:rsidR="003F676F" w:rsidRPr="00A106AD">
        <w:t>584.936,16</w:t>
      </w:r>
      <w:r w:rsidRPr="00A106AD">
        <w:t>eur i bilježe povećanje od 2</w:t>
      </w:r>
      <w:r w:rsidR="003F676F" w:rsidRPr="00A106AD">
        <w:t>4</w:t>
      </w:r>
      <w:r w:rsidRPr="00A106AD">
        <w:t>,5%, a odnose se na županijske, gradske i općinske pristojbe i naknade i ostale upravne pristojbe i naknade.</w:t>
      </w:r>
    </w:p>
    <w:p w:rsidR="008B3AA1" w:rsidRPr="00A106AD" w:rsidRDefault="008B3AA1" w:rsidP="008B3AA1"/>
    <w:p w:rsidR="008B3AA1" w:rsidRPr="00A106AD" w:rsidRDefault="008B3AA1" w:rsidP="008B3AA1">
      <w:r w:rsidRPr="00A106AD">
        <w:t xml:space="preserve">Županijske, gradske i općinske pristojbe iznose </w:t>
      </w:r>
      <w:r w:rsidR="003F676F" w:rsidRPr="00A106AD">
        <w:t>356.834,55</w:t>
      </w:r>
      <w:r w:rsidRPr="00A106AD">
        <w:t xml:space="preserve">eur, prihodi od ostalih upravnih pristojbi i naknadi  iznose </w:t>
      </w:r>
      <w:r w:rsidR="003F676F" w:rsidRPr="00A106AD">
        <w:t>53.948,70</w:t>
      </w:r>
      <w:r w:rsidRPr="00A106AD">
        <w:t xml:space="preserve">eur, te ostale pristojbe i naknade iznose </w:t>
      </w:r>
      <w:r w:rsidR="003F676F" w:rsidRPr="00A106AD">
        <w:t>166.690,56</w:t>
      </w:r>
      <w:r w:rsidRPr="00A106AD">
        <w:t xml:space="preserve">eur. </w:t>
      </w:r>
    </w:p>
    <w:p w:rsidR="008B3AA1" w:rsidRPr="00A106AD" w:rsidRDefault="008B3AA1" w:rsidP="008B3AA1"/>
    <w:p w:rsidR="008B3AA1" w:rsidRPr="00A106AD" w:rsidRDefault="008B3AA1" w:rsidP="008B3AA1">
      <w:r w:rsidRPr="00A106AD">
        <w:t xml:space="preserve">U okviru prihoda po posebnim propisima ostvareno je </w:t>
      </w:r>
      <w:r w:rsidR="003F676F" w:rsidRPr="00A106AD">
        <w:t>7.462,35</w:t>
      </w:r>
      <w:r w:rsidRPr="00A106AD">
        <w:t>eur</w:t>
      </w:r>
      <w:r w:rsidR="003F7935" w:rsidRPr="00A106AD">
        <w:t>, od čega na Istarsku županiju otpada 727,37eur.</w:t>
      </w:r>
      <w:r w:rsidRPr="00A106AD">
        <w:t xml:space="preserve"> (Šifra 652).</w:t>
      </w:r>
    </w:p>
    <w:p w:rsidR="008B3AA1" w:rsidRPr="00A106AD" w:rsidRDefault="008B3AA1" w:rsidP="008B3AA1"/>
    <w:p w:rsidR="00DF171A" w:rsidRPr="00A106AD" w:rsidRDefault="00DF171A" w:rsidP="008045BC"/>
    <w:p w:rsidR="008045BC" w:rsidRPr="00A106AD" w:rsidRDefault="008045BC" w:rsidP="008045BC">
      <w:pPr>
        <w:rPr>
          <w:b/>
        </w:rPr>
      </w:pPr>
    </w:p>
    <w:p w:rsidR="008045BC" w:rsidRPr="00A106AD" w:rsidRDefault="008045BC" w:rsidP="008045BC">
      <w:pPr>
        <w:rPr>
          <w:b/>
        </w:rPr>
      </w:pPr>
      <w:r w:rsidRPr="00A106AD">
        <w:rPr>
          <w:b/>
        </w:rPr>
        <w:t>Bilješka broj 9. – Prihodi od prodaje proizvoda i roba te pruženih usluga, prihodi od donacija te povrati po protestiranim jamstvima (Šifra 66 i 663)</w:t>
      </w:r>
    </w:p>
    <w:p w:rsidR="008045BC" w:rsidRPr="00A106AD" w:rsidRDefault="008045BC" w:rsidP="008045BC">
      <w:pPr>
        <w:rPr>
          <w:b/>
        </w:rPr>
      </w:pPr>
    </w:p>
    <w:p w:rsidR="008045BC" w:rsidRPr="00A106AD" w:rsidRDefault="008045BC" w:rsidP="008045BC">
      <w:pPr>
        <w:rPr>
          <w:b/>
        </w:rPr>
      </w:pPr>
    </w:p>
    <w:p w:rsidR="008B3AA1" w:rsidRPr="00A106AD" w:rsidRDefault="008B3AA1" w:rsidP="008B3AA1">
      <w:r w:rsidRPr="00A106AD">
        <w:t xml:space="preserve">U okviru prihoda od prodaje proizvoda i roba te pruženih usluga, prihoda od donacija te povrata po protestiranim jamstvima (šifra 66) tijekom 2023. godine ostvareno je </w:t>
      </w:r>
      <w:r w:rsidR="002D7514" w:rsidRPr="00A106AD">
        <w:t>1.521.584,52</w:t>
      </w:r>
      <w:r w:rsidRPr="00A106AD">
        <w:t>eur.</w:t>
      </w:r>
    </w:p>
    <w:p w:rsidR="008B3AA1" w:rsidRPr="00A106AD" w:rsidRDefault="008B3AA1" w:rsidP="008B3AA1"/>
    <w:p w:rsidR="008B3AA1" w:rsidRPr="00B57B01" w:rsidRDefault="008B3AA1" w:rsidP="008B3AA1">
      <w:r w:rsidRPr="00B57B01">
        <w:lastRenderedPageBreak/>
        <w:t xml:space="preserve">Prihodi od pruženih usluga  iznose </w:t>
      </w:r>
      <w:r w:rsidR="00D94C54" w:rsidRPr="00B57B01">
        <w:t>117.584,52</w:t>
      </w:r>
      <w:r w:rsidRPr="00B57B01">
        <w:t xml:space="preserve">eur, odnosno </w:t>
      </w:r>
      <w:r w:rsidR="00D94C54" w:rsidRPr="00B57B01">
        <w:t>6,</w:t>
      </w:r>
      <w:r w:rsidRPr="00B57B01">
        <w:t>5% više u odnosu na isto razdoblje prethodne godine. Sredstva su naplaćena od obavljanja usluga utvrđivanja i naplate poreza i provedenih ovrha, a odnose se na prihode od 28 jedinica lokalne samouprave (2 grada i 26 općina na području Istarske županije) s kojima su zaključeni ugovori o utvrđivanju i naplati poreza. Ugovorena je naknada u visini 5% od naplaćenih gradskih, odnosno općinskih poreza. Prema odlukama o lokalnim porezima, Istarska županija je u 2023. godini obavljala poslove utvrđivanja, evidentiranja i naplate poreza na potrošnju, poreza na kuće za odmor, poreza na tvrtku ili naziv i korištenje javnih površina kao i troškova ovrha.</w:t>
      </w:r>
    </w:p>
    <w:p w:rsidR="008B3AA1" w:rsidRPr="00B57B01" w:rsidRDefault="008B3AA1" w:rsidP="008B3AA1">
      <w:pPr>
        <w:rPr>
          <w:b/>
        </w:rPr>
      </w:pPr>
    </w:p>
    <w:p w:rsidR="008B3AA1" w:rsidRPr="00B57B01" w:rsidRDefault="008B3AA1" w:rsidP="008B3AA1">
      <w:pPr>
        <w:rPr>
          <w:b/>
        </w:rPr>
      </w:pPr>
      <w:r w:rsidRPr="00B57B01">
        <w:t xml:space="preserve">Donacije od pravnih i fizičkih obveza su naplaćene u iznosu od </w:t>
      </w:r>
      <w:r w:rsidR="00D94C54" w:rsidRPr="00B57B01">
        <w:t>1.404.000,00</w:t>
      </w:r>
      <w:r w:rsidRPr="00B57B01">
        <w:t>eur (Šifra 663) .  Na I</w:t>
      </w:r>
      <w:r w:rsidR="00D94C54" w:rsidRPr="00B57B01">
        <w:t>starsku županiju odnosi se 1.400</w:t>
      </w:r>
      <w:r w:rsidRPr="00B57B01">
        <w:t xml:space="preserve">.000,00eur koji se odnose na kapitalne donacije prema Sporazumu o sufinanciranju SEI - TOŠ </w:t>
      </w:r>
      <w:proofErr w:type="spellStart"/>
      <w:r w:rsidRPr="00B57B01">
        <w:t>Cittanova</w:t>
      </w:r>
      <w:proofErr w:type="spellEnd"/>
      <w:r w:rsidRPr="00B57B01">
        <w:t xml:space="preserve">-Novigrad </w:t>
      </w:r>
      <w:proofErr w:type="spellStart"/>
      <w:r w:rsidRPr="00B57B01">
        <w:t>Conv</w:t>
      </w:r>
      <w:proofErr w:type="spellEnd"/>
      <w:r w:rsidRPr="00B57B01">
        <w:t>. MAECI-UI-UPT između Talijanske unije i Istarske županije, a 4.000,00eur su sredstva Vijeća nacionalnih manjina  i predstavnika.</w:t>
      </w:r>
    </w:p>
    <w:p w:rsidR="008045BC" w:rsidRDefault="008045BC" w:rsidP="008045BC">
      <w:pPr>
        <w:rPr>
          <w:b/>
        </w:rPr>
      </w:pPr>
    </w:p>
    <w:p w:rsidR="00D94C54" w:rsidRPr="00C30FFC" w:rsidRDefault="00D94C54" w:rsidP="008045BC">
      <w:pPr>
        <w:rPr>
          <w:b/>
        </w:rPr>
      </w:pPr>
    </w:p>
    <w:p w:rsidR="008045BC" w:rsidRPr="00C30FFC" w:rsidRDefault="008045BC" w:rsidP="008045BC">
      <w:pPr>
        <w:rPr>
          <w:b/>
        </w:rPr>
      </w:pPr>
      <w:r w:rsidRPr="00C30FFC">
        <w:rPr>
          <w:b/>
        </w:rPr>
        <w:t>Bilješka broj 10. – Kazne, upravne mjere i ostali prihodi (Šifra 68)</w:t>
      </w:r>
    </w:p>
    <w:p w:rsidR="008045BC" w:rsidRPr="00C30FFC" w:rsidRDefault="008045BC" w:rsidP="008045BC">
      <w:pPr>
        <w:rPr>
          <w:b/>
        </w:rPr>
      </w:pPr>
    </w:p>
    <w:p w:rsidR="008B3AA1" w:rsidRPr="00C30FFC" w:rsidRDefault="008B3AA1" w:rsidP="008B3AA1">
      <w:r w:rsidRPr="00C30FFC">
        <w:t xml:space="preserve">Tijekom 2023.godine ostvareno je prihoda na ime kazni i upravnih mjera u iznosu od </w:t>
      </w:r>
      <w:r w:rsidR="00D94C54" w:rsidRPr="00C30FFC">
        <w:t>1.052.647,16</w:t>
      </w:r>
      <w:r w:rsidRPr="00C30FFC">
        <w:t xml:space="preserve">eur, a odnose se na naplatu prihoda od prodaje službenih novina, prihoda od izdavanja dopusnica u cestovnom prometu, prihoda gradova za službenički sud, povrata po ugovorima vezano uz </w:t>
      </w:r>
      <w:r w:rsidR="00D94C54" w:rsidRPr="00C30FFC">
        <w:t xml:space="preserve">neutrošena sredstva te ostalih </w:t>
      </w:r>
      <w:r w:rsidRPr="00C30FFC">
        <w:t>prihoda.</w:t>
      </w:r>
      <w:r w:rsidR="00D94C54" w:rsidRPr="00C30FFC">
        <w:t xml:space="preserve"> Najznačajnije povećanje prihoda odnosi se na prihode vezano uz sanaciju onečišćenja obale u Općini </w:t>
      </w:r>
      <w:proofErr w:type="spellStart"/>
      <w:r w:rsidR="00D94C54" w:rsidRPr="00C30FFC">
        <w:t>Ližnjan</w:t>
      </w:r>
      <w:proofErr w:type="spellEnd"/>
      <w:r w:rsidR="00D94C54" w:rsidRPr="00C30FFC">
        <w:t xml:space="preserve"> u iznosu od 996.940,52eur ostvarene od HEP proizvodnje d.o.o. koja je sukladno sporazumu preuzela obavezu za nadoknadu troškova sanacije.</w:t>
      </w:r>
    </w:p>
    <w:p w:rsidR="00D94C54" w:rsidRDefault="00D94C54" w:rsidP="008B3AA1"/>
    <w:p w:rsidR="00D94C54" w:rsidRPr="00B10E0B" w:rsidRDefault="00D94C54" w:rsidP="008B3AA1">
      <w:pPr>
        <w:rPr>
          <w:rFonts w:cs="Arial"/>
          <w:szCs w:val="22"/>
        </w:rPr>
      </w:pPr>
    </w:p>
    <w:p w:rsidR="008045BC" w:rsidRPr="00625D51" w:rsidRDefault="008045BC" w:rsidP="008045BC">
      <w:pPr>
        <w:rPr>
          <w:rFonts w:cs="Arial"/>
          <w:b/>
          <w:szCs w:val="22"/>
        </w:rPr>
      </w:pPr>
      <w:r w:rsidRPr="00625D51">
        <w:rPr>
          <w:rFonts w:cs="Arial"/>
          <w:b/>
          <w:szCs w:val="22"/>
        </w:rPr>
        <w:t>Rashodi poslovanja</w:t>
      </w:r>
    </w:p>
    <w:p w:rsidR="008045BC" w:rsidRPr="00625D51" w:rsidRDefault="008045BC" w:rsidP="008045BC">
      <w:pPr>
        <w:rPr>
          <w:rFonts w:cs="Arial"/>
          <w:b/>
          <w:szCs w:val="22"/>
        </w:rPr>
      </w:pPr>
      <w:r w:rsidRPr="00625D51">
        <w:rPr>
          <w:rFonts w:cs="Arial"/>
          <w:b/>
          <w:szCs w:val="22"/>
        </w:rPr>
        <w:t xml:space="preserve"> </w:t>
      </w:r>
    </w:p>
    <w:p w:rsidR="00B50DDB" w:rsidRPr="00625D51" w:rsidRDefault="00B50DDB" w:rsidP="008045BC">
      <w:pPr>
        <w:rPr>
          <w:rFonts w:cs="Arial"/>
          <w:b/>
          <w:szCs w:val="22"/>
        </w:rPr>
      </w:pPr>
    </w:p>
    <w:p w:rsidR="008B3AA1" w:rsidRPr="00625D51" w:rsidRDefault="008B3AA1" w:rsidP="008B3AA1">
      <w:pPr>
        <w:rPr>
          <w:rFonts w:cs="Arial"/>
          <w:szCs w:val="22"/>
        </w:rPr>
      </w:pPr>
      <w:r w:rsidRPr="00625D51">
        <w:rPr>
          <w:rFonts w:cs="Arial"/>
          <w:szCs w:val="22"/>
        </w:rPr>
        <w:t xml:space="preserve">Rashodi poslovanja (Šifra 3) ostvareni su u iznosu od  </w:t>
      </w:r>
      <w:r w:rsidR="002136A1" w:rsidRPr="00625D51">
        <w:rPr>
          <w:rFonts w:cs="Arial"/>
          <w:szCs w:val="22"/>
        </w:rPr>
        <w:t>47.720.914,95</w:t>
      </w:r>
      <w:r w:rsidRPr="00625D51">
        <w:rPr>
          <w:rFonts w:cs="Arial"/>
          <w:szCs w:val="22"/>
        </w:rPr>
        <w:t>eur ili 2</w:t>
      </w:r>
      <w:r w:rsidR="002136A1" w:rsidRPr="00625D51">
        <w:rPr>
          <w:rFonts w:cs="Arial"/>
          <w:szCs w:val="22"/>
        </w:rPr>
        <w:t>7,1</w:t>
      </w:r>
      <w:r w:rsidRPr="00625D51">
        <w:rPr>
          <w:rFonts w:cs="Arial"/>
          <w:szCs w:val="22"/>
        </w:rPr>
        <w:t xml:space="preserve">%  više u odnosu na isto razdoblje protekle godine. Rashodi Istarske županije iznose </w:t>
      </w:r>
      <w:r w:rsidR="002136A1" w:rsidRPr="00625D51">
        <w:rPr>
          <w:rFonts w:cs="Arial"/>
          <w:szCs w:val="22"/>
        </w:rPr>
        <w:t>47.704.919,29</w:t>
      </w:r>
      <w:r w:rsidRPr="00625D51">
        <w:rPr>
          <w:rFonts w:cs="Arial"/>
          <w:szCs w:val="22"/>
        </w:rPr>
        <w:t xml:space="preserve">eur, a rashodi Vijeća nacionalnih manjina koja su sami financirali iznose </w:t>
      </w:r>
      <w:r w:rsidR="002136A1" w:rsidRPr="00625D51">
        <w:rPr>
          <w:rFonts w:cs="Arial"/>
          <w:szCs w:val="22"/>
        </w:rPr>
        <w:t>15.995,66</w:t>
      </w:r>
      <w:r w:rsidRPr="00625D51">
        <w:rPr>
          <w:rFonts w:cs="Arial"/>
          <w:szCs w:val="22"/>
        </w:rPr>
        <w:t>eur.</w:t>
      </w:r>
    </w:p>
    <w:p w:rsidR="008045BC" w:rsidRPr="00625D51" w:rsidRDefault="008045BC" w:rsidP="008045BC">
      <w:pPr>
        <w:rPr>
          <w:rFonts w:cs="Arial"/>
          <w:b/>
          <w:szCs w:val="22"/>
        </w:rPr>
      </w:pPr>
    </w:p>
    <w:p w:rsidR="00EF318D" w:rsidRDefault="00EF318D" w:rsidP="008045BC">
      <w:pPr>
        <w:rPr>
          <w:rFonts w:cs="Arial"/>
          <w:b/>
          <w:szCs w:val="22"/>
        </w:rPr>
      </w:pPr>
    </w:p>
    <w:p w:rsidR="008045BC" w:rsidRPr="00BC5183" w:rsidRDefault="008045BC" w:rsidP="008045BC">
      <w:pPr>
        <w:rPr>
          <w:rFonts w:cs="Arial"/>
          <w:b/>
          <w:szCs w:val="22"/>
        </w:rPr>
      </w:pPr>
      <w:r w:rsidRPr="00BC5183">
        <w:rPr>
          <w:rFonts w:cs="Arial"/>
          <w:b/>
          <w:szCs w:val="22"/>
        </w:rPr>
        <w:t>Bilješka broj 11. – Rashodi za zaposlene (Šifra 31)</w:t>
      </w:r>
    </w:p>
    <w:p w:rsidR="008045BC" w:rsidRPr="00BC5183" w:rsidRDefault="008045BC" w:rsidP="008045BC">
      <w:pPr>
        <w:rPr>
          <w:rFonts w:cs="Arial"/>
          <w:b/>
          <w:szCs w:val="22"/>
        </w:rPr>
      </w:pPr>
    </w:p>
    <w:p w:rsidR="008B3AA1" w:rsidRPr="00BC5183" w:rsidRDefault="008B3AA1" w:rsidP="008B3AA1">
      <w:pPr>
        <w:rPr>
          <w:rFonts w:cs="Arial"/>
          <w:szCs w:val="22"/>
        </w:rPr>
      </w:pPr>
      <w:r w:rsidRPr="00BC5183">
        <w:rPr>
          <w:rFonts w:cs="Arial"/>
          <w:szCs w:val="22"/>
        </w:rPr>
        <w:t xml:space="preserve">Rashodi za zaposlene ostvareni su u iznosu od </w:t>
      </w:r>
      <w:r w:rsidR="00572921" w:rsidRPr="00BC5183">
        <w:rPr>
          <w:rFonts w:cs="Arial"/>
          <w:szCs w:val="22"/>
        </w:rPr>
        <w:t>8.083.630,08</w:t>
      </w:r>
      <w:r w:rsidRPr="00BC5183">
        <w:rPr>
          <w:rFonts w:cs="Arial"/>
          <w:szCs w:val="22"/>
        </w:rPr>
        <w:t>eur ili 2</w:t>
      </w:r>
      <w:r w:rsidR="00572921" w:rsidRPr="00BC5183">
        <w:rPr>
          <w:rFonts w:cs="Arial"/>
          <w:szCs w:val="22"/>
        </w:rPr>
        <w:t>3</w:t>
      </w:r>
      <w:r w:rsidRPr="00BC5183">
        <w:rPr>
          <w:rFonts w:cs="Arial"/>
          <w:szCs w:val="22"/>
        </w:rPr>
        <w:t>,</w:t>
      </w:r>
      <w:r w:rsidR="00572921" w:rsidRPr="00BC5183">
        <w:rPr>
          <w:rFonts w:cs="Arial"/>
          <w:szCs w:val="22"/>
        </w:rPr>
        <w:t>6</w:t>
      </w:r>
      <w:r w:rsidRPr="00BC5183">
        <w:rPr>
          <w:rFonts w:cs="Arial"/>
          <w:szCs w:val="22"/>
        </w:rPr>
        <w:t xml:space="preserve">% više u odnosu na isto izvještajno razdoblje prethodne godine. </w:t>
      </w:r>
      <w:r w:rsidR="006C2DFF" w:rsidRPr="00B538C2">
        <w:rPr>
          <w:rFonts w:cs="Arial"/>
        </w:rPr>
        <w:t>Navedeno je</w:t>
      </w:r>
      <w:r w:rsidR="006C2DFF">
        <w:rPr>
          <w:rFonts w:cs="Arial"/>
        </w:rPr>
        <w:t>,</w:t>
      </w:r>
      <w:r w:rsidR="006C2DFF" w:rsidRPr="00B538C2">
        <w:rPr>
          <w:rFonts w:cs="Arial"/>
        </w:rPr>
        <w:t xml:space="preserve"> u najvećoj mjeri</w:t>
      </w:r>
      <w:r w:rsidR="006C2DFF">
        <w:rPr>
          <w:rFonts w:cs="Arial"/>
        </w:rPr>
        <w:t>,</w:t>
      </w:r>
      <w:r w:rsidR="006C2DFF" w:rsidRPr="00B538C2">
        <w:rPr>
          <w:rFonts w:cs="Arial"/>
        </w:rPr>
        <w:t xml:space="preserve"> rezultat povećanja osnovice za obračun plaće službenika i namještenika u upravnim tijelima </w:t>
      </w:r>
      <w:r w:rsidR="006C2DFF">
        <w:rPr>
          <w:rFonts w:cs="Arial"/>
        </w:rPr>
        <w:t>Istarske</w:t>
      </w:r>
      <w:r w:rsidR="006C2DFF" w:rsidRPr="00B538C2">
        <w:rPr>
          <w:rFonts w:cs="Arial"/>
        </w:rPr>
        <w:t xml:space="preserve"> županije u  202</w:t>
      </w:r>
      <w:r w:rsidR="006C2DFF">
        <w:rPr>
          <w:rFonts w:cs="Arial"/>
        </w:rPr>
        <w:t>3</w:t>
      </w:r>
      <w:r w:rsidR="006C2DFF" w:rsidRPr="00B538C2">
        <w:rPr>
          <w:rFonts w:cs="Arial"/>
        </w:rPr>
        <w:t>. godin</w:t>
      </w:r>
      <w:r w:rsidR="006C2DFF">
        <w:rPr>
          <w:rFonts w:cs="Arial"/>
        </w:rPr>
        <w:t>i</w:t>
      </w:r>
      <w:r w:rsidR="006C2DFF" w:rsidRPr="00B538C2">
        <w:rPr>
          <w:rFonts w:cs="Arial"/>
        </w:rPr>
        <w:t>.</w:t>
      </w:r>
    </w:p>
    <w:p w:rsidR="001E1E3B" w:rsidRPr="00CB3B8E" w:rsidRDefault="001E1E3B" w:rsidP="008B3AA1">
      <w:pPr>
        <w:rPr>
          <w:rFonts w:cs="Arial"/>
          <w:color w:val="2E74B5" w:themeColor="accent1" w:themeShade="BF"/>
          <w:szCs w:val="22"/>
        </w:rPr>
      </w:pPr>
    </w:p>
    <w:p w:rsidR="008045BC" w:rsidRPr="00CB3B8E" w:rsidRDefault="008045BC" w:rsidP="008045BC">
      <w:pPr>
        <w:rPr>
          <w:rFonts w:cs="Arial"/>
          <w:b/>
          <w:color w:val="2E74B5" w:themeColor="accent1" w:themeShade="BF"/>
          <w:szCs w:val="22"/>
        </w:rPr>
      </w:pPr>
    </w:p>
    <w:p w:rsidR="008045BC" w:rsidRPr="00FB2F82" w:rsidRDefault="008045BC" w:rsidP="008045BC">
      <w:pPr>
        <w:rPr>
          <w:rFonts w:cs="Arial"/>
          <w:b/>
          <w:szCs w:val="22"/>
        </w:rPr>
      </w:pPr>
      <w:r w:rsidRPr="00FB2F82">
        <w:rPr>
          <w:rFonts w:cs="Arial"/>
          <w:b/>
          <w:szCs w:val="22"/>
        </w:rPr>
        <w:t>Bilješka broj 12. – Materijalni rashodi  i rashodi za usluge (Šifra 32,323 i 3292)</w:t>
      </w:r>
    </w:p>
    <w:p w:rsidR="008B3AA1" w:rsidRPr="00FB2F82" w:rsidRDefault="008B3AA1" w:rsidP="008045BC">
      <w:pPr>
        <w:rPr>
          <w:rFonts w:cs="Arial"/>
          <w:b/>
          <w:szCs w:val="22"/>
        </w:rPr>
      </w:pPr>
    </w:p>
    <w:p w:rsidR="008B3AA1" w:rsidRPr="00FB2F82" w:rsidRDefault="008B3AA1" w:rsidP="008B3AA1">
      <w:pPr>
        <w:rPr>
          <w:rFonts w:cs="Arial"/>
          <w:szCs w:val="22"/>
        </w:rPr>
      </w:pPr>
      <w:r w:rsidRPr="00FB2F82">
        <w:rPr>
          <w:rFonts w:cs="Arial"/>
          <w:szCs w:val="22"/>
        </w:rPr>
        <w:t xml:space="preserve">Materijalni rashodi  ostvareni su u iznosu od </w:t>
      </w:r>
      <w:r w:rsidR="00572921" w:rsidRPr="00FB2F82">
        <w:rPr>
          <w:rFonts w:cs="Arial"/>
          <w:szCs w:val="22"/>
        </w:rPr>
        <w:t>5.772.741,82</w:t>
      </w:r>
      <w:r w:rsidRPr="00FB2F82">
        <w:rPr>
          <w:rFonts w:cs="Arial"/>
          <w:szCs w:val="22"/>
        </w:rPr>
        <w:t xml:space="preserve">eur ili </w:t>
      </w:r>
      <w:r w:rsidR="00572921" w:rsidRPr="00FB2F82">
        <w:rPr>
          <w:rFonts w:cs="Arial"/>
          <w:szCs w:val="22"/>
        </w:rPr>
        <w:t>37</w:t>
      </w:r>
      <w:r w:rsidRPr="00FB2F82">
        <w:rPr>
          <w:rFonts w:cs="Arial"/>
          <w:szCs w:val="22"/>
        </w:rPr>
        <w:t>,</w:t>
      </w:r>
      <w:r w:rsidR="00572921" w:rsidRPr="00FB2F82">
        <w:rPr>
          <w:rFonts w:cs="Arial"/>
          <w:szCs w:val="22"/>
        </w:rPr>
        <w:t>0</w:t>
      </w:r>
      <w:r w:rsidRPr="00FB2F82">
        <w:rPr>
          <w:rFonts w:cs="Arial"/>
          <w:szCs w:val="22"/>
        </w:rPr>
        <w:t xml:space="preserve">% više u odnosu na proteklu godinu. </w:t>
      </w:r>
    </w:p>
    <w:p w:rsidR="00572921" w:rsidRPr="00CB3B8E" w:rsidRDefault="00572921" w:rsidP="008B3AA1">
      <w:pPr>
        <w:rPr>
          <w:rFonts w:cs="Arial"/>
          <w:color w:val="2E74B5" w:themeColor="accent1" w:themeShade="BF"/>
          <w:szCs w:val="22"/>
        </w:rPr>
      </w:pPr>
    </w:p>
    <w:p w:rsidR="008B3AA1" w:rsidRPr="00FB2F82" w:rsidRDefault="008B3AA1" w:rsidP="008B3AA1">
      <w:pPr>
        <w:rPr>
          <w:rFonts w:cs="Arial"/>
          <w:szCs w:val="22"/>
        </w:rPr>
      </w:pPr>
      <w:r w:rsidRPr="00FB2F82">
        <w:rPr>
          <w:rFonts w:cs="Arial"/>
          <w:szCs w:val="22"/>
        </w:rPr>
        <w:t xml:space="preserve">Naknade troškova zaposlenih (troškovi službenih putovanja, naknade za prijevoz na posao i s posla, seminari, tečajevi i stručni ispiti) iznose </w:t>
      </w:r>
      <w:r w:rsidR="00572921" w:rsidRPr="00FB2F82">
        <w:rPr>
          <w:rFonts w:cs="Arial"/>
          <w:szCs w:val="22"/>
        </w:rPr>
        <w:t>298.999,68</w:t>
      </w:r>
      <w:r w:rsidRPr="00FB2F82">
        <w:rPr>
          <w:rFonts w:cs="Arial"/>
          <w:szCs w:val="22"/>
        </w:rPr>
        <w:t xml:space="preserve">eur, a rashodi za materijal i energiju </w:t>
      </w:r>
      <w:r w:rsidR="00572921" w:rsidRPr="00FB2F82">
        <w:rPr>
          <w:rFonts w:cs="Arial"/>
          <w:szCs w:val="22"/>
        </w:rPr>
        <w:t>416.663,63</w:t>
      </w:r>
      <w:r w:rsidRPr="00FB2F82">
        <w:rPr>
          <w:rFonts w:cs="Arial"/>
          <w:szCs w:val="22"/>
        </w:rPr>
        <w:t>eur od toga se na Istarsku županiju odnosi</w:t>
      </w:r>
      <w:r w:rsidRPr="00FB2F82">
        <w:t xml:space="preserve"> </w:t>
      </w:r>
      <w:r w:rsidR="00572921" w:rsidRPr="00FB2F82">
        <w:rPr>
          <w:rFonts w:cs="Arial"/>
          <w:szCs w:val="22"/>
        </w:rPr>
        <w:t>413.365,92</w:t>
      </w:r>
      <w:r w:rsidRPr="00FB2F82">
        <w:rPr>
          <w:rFonts w:cs="Arial"/>
          <w:szCs w:val="22"/>
        </w:rPr>
        <w:t>eur troškova.</w:t>
      </w:r>
    </w:p>
    <w:p w:rsidR="008B3AA1" w:rsidRPr="00FB2F82" w:rsidRDefault="008B3AA1" w:rsidP="008B3AA1">
      <w:pPr>
        <w:rPr>
          <w:rFonts w:cs="Arial"/>
          <w:szCs w:val="22"/>
        </w:rPr>
      </w:pPr>
    </w:p>
    <w:p w:rsidR="008B3AA1" w:rsidRPr="00FB2F82" w:rsidRDefault="008B3AA1" w:rsidP="008B3AA1">
      <w:pPr>
        <w:rPr>
          <w:rFonts w:cs="Arial"/>
          <w:szCs w:val="22"/>
        </w:rPr>
      </w:pPr>
      <w:r w:rsidRPr="00FB2F82">
        <w:rPr>
          <w:rFonts w:cs="Arial"/>
          <w:szCs w:val="22"/>
        </w:rPr>
        <w:t xml:space="preserve">Rashodi za usluge unutar materijalnih rashoda iznose </w:t>
      </w:r>
      <w:r w:rsidR="00572921" w:rsidRPr="00FB2F82">
        <w:rPr>
          <w:rFonts w:cs="Arial"/>
          <w:szCs w:val="22"/>
        </w:rPr>
        <w:t>4.495.298,57</w:t>
      </w:r>
      <w:r w:rsidRPr="00FB2F82">
        <w:rPr>
          <w:rFonts w:cs="Arial"/>
          <w:szCs w:val="22"/>
        </w:rPr>
        <w:t xml:space="preserve">eur i bilježe povećanje od </w:t>
      </w:r>
      <w:r w:rsidR="00572921" w:rsidRPr="00FB2F82">
        <w:rPr>
          <w:rFonts w:cs="Arial"/>
          <w:szCs w:val="22"/>
        </w:rPr>
        <w:t>41</w:t>
      </w:r>
      <w:r w:rsidRPr="00FB2F82">
        <w:rPr>
          <w:rFonts w:cs="Arial"/>
          <w:szCs w:val="22"/>
        </w:rPr>
        <w:t xml:space="preserve">,4%. U ove rashode uključeni su materijalni rashodi i rashodi za usluge od bitne važnosti za funkcioniranje upravnih odjela Istarske županije i Vijeća nacionalnih manjina i predstavnika. </w:t>
      </w:r>
    </w:p>
    <w:p w:rsidR="008B3AA1" w:rsidRPr="00FB2F82" w:rsidRDefault="008B3AA1" w:rsidP="008B3AA1">
      <w:pPr>
        <w:rPr>
          <w:rFonts w:cs="Arial"/>
          <w:szCs w:val="22"/>
        </w:rPr>
      </w:pPr>
      <w:r w:rsidRPr="00FB2F82">
        <w:rPr>
          <w:rFonts w:cs="Arial"/>
          <w:szCs w:val="22"/>
        </w:rPr>
        <w:lastRenderedPageBreak/>
        <w:t xml:space="preserve">U ovom izvještajnom periodu značajno povećanje je iskazano na komunalnim uslugama budući su poduzimane radnje za sprečavanje daljnjeg onečišćenja te sanaciju onečišćenog područja odnosno uklanjanje opasnosti od onečišćenja mora na području Općine </w:t>
      </w:r>
      <w:proofErr w:type="spellStart"/>
      <w:r w:rsidRPr="00FB2F82">
        <w:rPr>
          <w:rFonts w:cs="Arial"/>
          <w:szCs w:val="22"/>
        </w:rPr>
        <w:t>Ližnjan</w:t>
      </w:r>
      <w:proofErr w:type="spellEnd"/>
      <w:r w:rsidRPr="00FB2F82">
        <w:rPr>
          <w:rFonts w:cs="Arial"/>
          <w:szCs w:val="22"/>
        </w:rPr>
        <w:t>.</w:t>
      </w:r>
    </w:p>
    <w:p w:rsidR="00FB2F82" w:rsidRPr="00FB2F82" w:rsidRDefault="00FB2F82" w:rsidP="008B3AA1">
      <w:pPr>
        <w:rPr>
          <w:rFonts w:cs="Arial"/>
          <w:szCs w:val="22"/>
        </w:rPr>
      </w:pPr>
    </w:p>
    <w:p w:rsidR="008B3AA1" w:rsidRPr="00FB2F82" w:rsidRDefault="008B3AA1" w:rsidP="008B3AA1">
      <w:pPr>
        <w:rPr>
          <w:rFonts w:cs="Arial"/>
          <w:szCs w:val="22"/>
        </w:rPr>
      </w:pPr>
      <w:r w:rsidRPr="00FB2F82">
        <w:rPr>
          <w:rFonts w:cs="Arial"/>
          <w:szCs w:val="22"/>
        </w:rPr>
        <w:t xml:space="preserve">Naknade troškova osobama izvan radnog odnosa  iznose </w:t>
      </w:r>
      <w:r w:rsidR="00572921" w:rsidRPr="00FB2F82">
        <w:rPr>
          <w:rFonts w:cs="Arial"/>
          <w:szCs w:val="22"/>
        </w:rPr>
        <w:t>9.395,87</w:t>
      </w:r>
      <w:r w:rsidRPr="00FB2F82">
        <w:rPr>
          <w:rFonts w:cs="Arial"/>
          <w:szCs w:val="22"/>
        </w:rPr>
        <w:t xml:space="preserve">eur, od čega se </w:t>
      </w:r>
      <w:r w:rsidR="00572921" w:rsidRPr="00FB2F82">
        <w:rPr>
          <w:rFonts w:cs="Arial"/>
          <w:szCs w:val="22"/>
        </w:rPr>
        <w:t>4.455,56</w:t>
      </w:r>
      <w:r w:rsidRPr="00FB2F82">
        <w:rPr>
          <w:rFonts w:cs="Arial"/>
          <w:szCs w:val="22"/>
        </w:rPr>
        <w:t xml:space="preserve">eur odnosi na Istarsku županiju, a </w:t>
      </w:r>
      <w:r w:rsidR="00572921" w:rsidRPr="00FB2F82">
        <w:rPr>
          <w:rFonts w:cs="Arial"/>
          <w:szCs w:val="22"/>
        </w:rPr>
        <w:t>4.940,31</w:t>
      </w:r>
      <w:r w:rsidRPr="00FB2F82">
        <w:rPr>
          <w:rFonts w:cs="Arial"/>
          <w:szCs w:val="22"/>
        </w:rPr>
        <w:t xml:space="preserve">eur na Vijeća nacionalnih manjina i predstavnika. </w:t>
      </w:r>
    </w:p>
    <w:p w:rsidR="008B3AA1" w:rsidRPr="00FB2F82" w:rsidRDefault="008B3AA1" w:rsidP="008B3AA1">
      <w:pPr>
        <w:rPr>
          <w:rFonts w:cs="Arial"/>
          <w:szCs w:val="22"/>
        </w:rPr>
      </w:pPr>
    </w:p>
    <w:p w:rsidR="008B3AA1" w:rsidRPr="00FB2F82" w:rsidRDefault="008B3AA1" w:rsidP="008B3AA1">
      <w:pPr>
        <w:rPr>
          <w:rFonts w:cs="Arial"/>
          <w:szCs w:val="22"/>
        </w:rPr>
      </w:pPr>
      <w:r w:rsidRPr="00FB2F82">
        <w:rPr>
          <w:rFonts w:cs="Arial"/>
          <w:szCs w:val="22"/>
        </w:rPr>
        <w:t xml:space="preserve">Ostali nespomenuti rashodi poslovanja bilježe povećanje od </w:t>
      </w:r>
      <w:r w:rsidR="00CB3B8E" w:rsidRPr="00FB2F82">
        <w:rPr>
          <w:rFonts w:cs="Arial"/>
          <w:szCs w:val="22"/>
        </w:rPr>
        <w:t>48,9</w:t>
      </w:r>
      <w:r w:rsidRPr="00FB2F82">
        <w:rPr>
          <w:rFonts w:cs="Arial"/>
          <w:szCs w:val="22"/>
        </w:rPr>
        <w:t xml:space="preserve">% i iznose </w:t>
      </w:r>
      <w:r w:rsidR="00CB3B8E" w:rsidRPr="00FB2F82">
        <w:rPr>
          <w:rFonts w:cs="Arial"/>
          <w:szCs w:val="22"/>
        </w:rPr>
        <w:t>552.384,07</w:t>
      </w:r>
      <w:r w:rsidRPr="00FB2F82">
        <w:rPr>
          <w:rFonts w:cs="Arial"/>
          <w:szCs w:val="22"/>
        </w:rPr>
        <w:t xml:space="preserve">eur, a odnose se na naknade za rad predstavničkih i izvršnih tijela te povjerenstava, premije osiguranja, članarine, reprezentacije te troškova sudskih postupaka i ostalih nespomenutih rashoda poslovanja, od čega je udio Vijeća nacionalnih manjina i predstavnika </w:t>
      </w:r>
      <w:r w:rsidR="00CB3B8E" w:rsidRPr="00FB2F82">
        <w:rPr>
          <w:rFonts w:cs="Arial"/>
          <w:szCs w:val="22"/>
        </w:rPr>
        <w:t>7.627,11</w:t>
      </w:r>
      <w:r w:rsidRPr="00FB2F82">
        <w:rPr>
          <w:rFonts w:cs="Arial"/>
          <w:szCs w:val="22"/>
        </w:rPr>
        <w:t>eur.</w:t>
      </w:r>
    </w:p>
    <w:p w:rsidR="008B3AA1" w:rsidRPr="00FB2F82" w:rsidRDefault="008B3AA1" w:rsidP="008B3AA1">
      <w:pPr>
        <w:rPr>
          <w:rFonts w:cs="Arial"/>
          <w:szCs w:val="22"/>
        </w:rPr>
      </w:pPr>
    </w:p>
    <w:p w:rsidR="008045BC" w:rsidRDefault="008045BC" w:rsidP="008045BC">
      <w:pPr>
        <w:rPr>
          <w:rFonts w:cs="Arial"/>
          <w:szCs w:val="22"/>
        </w:rPr>
      </w:pPr>
    </w:p>
    <w:p w:rsidR="008045BC" w:rsidRPr="00E7207B" w:rsidRDefault="008045BC" w:rsidP="008045BC">
      <w:pPr>
        <w:rPr>
          <w:rFonts w:cs="Arial"/>
          <w:b/>
          <w:szCs w:val="22"/>
        </w:rPr>
      </w:pPr>
      <w:r w:rsidRPr="00E7207B">
        <w:rPr>
          <w:rFonts w:cs="Arial"/>
          <w:b/>
          <w:szCs w:val="22"/>
        </w:rPr>
        <w:t>Bilješka broj 13. – Financijski rashodi (Šifra 34)</w:t>
      </w:r>
    </w:p>
    <w:p w:rsidR="008045BC" w:rsidRPr="00E7207B" w:rsidRDefault="008045BC" w:rsidP="008045BC">
      <w:pPr>
        <w:rPr>
          <w:rFonts w:cs="Arial"/>
          <w:b/>
          <w:szCs w:val="22"/>
        </w:rPr>
      </w:pPr>
    </w:p>
    <w:p w:rsidR="008045BC" w:rsidRPr="00E7207B" w:rsidRDefault="008045BC" w:rsidP="008045BC">
      <w:pPr>
        <w:rPr>
          <w:rFonts w:cs="Arial"/>
          <w:b/>
          <w:szCs w:val="22"/>
        </w:rPr>
      </w:pPr>
    </w:p>
    <w:p w:rsidR="008B3AA1" w:rsidRPr="00E7207B" w:rsidRDefault="008B3AA1" w:rsidP="008B3AA1">
      <w:pPr>
        <w:rPr>
          <w:rFonts w:cs="Arial"/>
          <w:szCs w:val="22"/>
        </w:rPr>
      </w:pPr>
      <w:r w:rsidRPr="00E7207B">
        <w:rPr>
          <w:rFonts w:cs="Arial"/>
          <w:szCs w:val="22"/>
        </w:rPr>
        <w:t>Ovi rashodi ostvareni su u iznosu</w:t>
      </w:r>
      <w:r w:rsidRPr="00E7207B">
        <w:t xml:space="preserve"> </w:t>
      </w:r>
      <w:r w:rsidR="00CB3B8E" w:rsidRPr="00E7207B">
        <w:rPr>
          <w:rFonts w:cs="Arial"/>
          <w:szCs w:val="22"/>
        </w:rPr>
        <w:t>404.416,13</w:t>
      </w:r>
      <w:r w:rsidRPr="00E7207B">
        <w:rPr>
          <w:rFonts w:cs="Arial"/>
          <w:szCs w:val="22"/>
        </w:rPr>
        <w:t xml:space="preserve">eur ili </w:t>
      </w:r>
      <w:r w:rsidR="00CB3B8E" w:rsidRPr="00E7207B">
        <w:rPr>
          <w:rFonts w:cs="Arial"/>
          <w:szCs w:val="22"/>
        </w:rPr>
        <w:t>7,0</w:t>
      </w:r>
      <w:r w:rsidRPr="00E7207B">
        <w:rPr>
          <w:rFonts w:cs="Arial"/>
          <w:szCs w:val="22"/>
        </w:rPr>
        <w:t xml:space="preserve">%  manje u odnosu na prethodnu godinu. Na Istarsku županiju se odnosi </w:t>
      </w:r>
      <w:r w:rsidR="00CB3B8E" w:rsidRPr="00E7207B">
        <w:rPr>
          <w:rFonts w:cs="Arial"/>
          <w:szCs w:val="22"/>
        </w:rPr>
        <w:t>403.092,46</w:t>
      </w:r>
      <w:r w:rsidRPr="00E7207B">
        <w:rPr>
          <w:rFonts w:cs="Arial"/>
          <w:szCs w:val="22"/>
        </w:rPr>
        <w:t xml:space="preserve">eur, a na Vijeća </w:t>
      </w:r>
      <w:r w:rsidR="00CB3B8E" w:rsidRPr="00E7207B">
        <w:rPr>
          <w:rFonts w:cs="Arial"/>
          <w:szCs w:val="22"/>
        </w:rPr>
        <w:t>1.323,67</w:t>
      </w:r>
      <w:r w:rsidRPr="00E7207B">
        <w:rPr>
          <w:rFonts w:cs="Arial"/>
          <w:szCs w:val="22"/>
        </w:rPr>
        <w:t xml:space="preserve">eur. </w:t>
      </w:r>
    </w:p>
    <w:p w:rsidR="008B3AA1" w:rsidRPr="00E7207B" w:rsidRDefault="008B3AA1" w:rsidP="008B3AA1">
      <w:pPr>
        <w:rPr>
          <w:rFonts w:cs="Arial"/>
          <w:szCs w:val="22"/>
        </w:rPr>
      </w:pPr>
    </w:p>
    <w:p w:rsidR="008B3AA1" w:rsidRPr="00E7207B" w:rsidRDefault="008B3AA1" w:rsidP="008B3AA1">
      <w:pPr>
        <w:rPr>
          <w:rFonts w:cs="Arial"/>
          <w:szCs w:val="22"/>
        </w:rPr>
      </w:pPr>
      <w:r w:rsidRPr="00E7207B">
        <w:rPr>
          <w:rFonts w:cs="Arial"/>
          <w:szCs w:val="22"/>
        </w:rPr>
        <w:t xml:space="preserve">Najznačajniji financijski rashod su kamate za primljene kredite i zajmove u iznosu od </w:t>
      </w:r>
      <w:r w:rsidR="00CB3B8E" w:rsidRPr="00E7207B">
        <w:rPr>
          <w:rFonts w:cs="Arial"/>
          <w:szCs w:val="22"/>
        </w:rPr>
        <w:t>361.728,15</w:t>
      </w:r>
      <w:r w:rsidRPr="00E7207B">
        <w:rPr>
          <w:rFonts w:cs="Arial"/>
          <w:szCs w:val="22"/>
        </w:rPr>
        <w:t xml:space="preserve">eur, a odnose se na kamate za primljeni kredit za </w:t>
      </w:r>
      <w:proofErr w:type="spellStart"/>
      <w:r w:rsidRPr="00E7207B">
        <w:rPr>
          <w:rFonts w:cs="Arial"/>
          <w:szCs w:val="22"/>
        </w:rPr>
        <w:t>Kaštijun</w:t>
      </w:r>
      <w:proofErr w:type="spellEnd"/>
      <w:r w:rsidRPr="00E7207B">
        <w:rPr>
          <w:rFonts w:cs="Arial"/>
          <w:szCs w:val="22"/>
        </w:rPr>
        <w:t xml:space="preserve"> u iznosu od </w:t>
      </w:r>
      <w:r w:rsidR="00CB3B8E" w:rsidRPr="00E7207B">
        <w:rPr>
          <w:rFonts w:cs="Arial"/>
          <w:szCs w:val="22"/>
        </w:rPr>
        <w:t>242.574,24</w:t>
      </w:r>
      <w:r w:rsidRPr="00E7207B">
        <w:rPr>
          <w:rFonts w:cs="Arial"/>
          <w:szCs w:val="22"/>
        </w:rPr>
        <w:t xml:space="preserve">eur koje se zajedno sa glavnicom uplaćuju u Državni proračun RH, zatim  kamate za primljeni kredit za izgradnju domova za starije osobe kojima je osnivač Istarska županija u iznosu od </w:t>
      </w:r>
      <w:r w:rsidR="00CB3B8E" w:rsidRPr="00E7207B">
        <w:rPr>
          <w:rFonts w:cs="Arial"/>
          <w:szCs w:val="22"/>
        </w:rPr>
        <w:t>97.161,25</w:t>
      </w:r>
      <w:r w:rsidRPr="00E7207B">
        <w:rPr>
          <w:rFonts w:cs="Arial"/>
          <w:szCs w:val="22"/>
        </w:rPr>
        <w:t xml:space="preserve">eur i kamate koje se odnose na kredit za izgradnju Medicinske škole u Puli koju zajednički financiraju Grad Pula i Istarska županija u iznosu od </w:t>
      </w:r>
      <w:r w:rsidR="00CB3B8E" w:rsidRPr="00E7207B">
        <w:rPr>
          <w:rFonts w:cs="Arial"/>
          <w:szCs w:val="22"/>
        </w:rPr>
        <w:t>21.992,66</w:t>
      </w:r>
      <w:r w:rsidRPr="00E7207B">
        <w:rPr>
          <w:rFonts w:cs="Arial"/>
          <w:szCs w:val="22"/>
        </w:rPr>
        <w:t xml:space="preserve">eur. </w:t>
      </w:r>
    </w:p>
    <w:p w:rsidR="008B3AA1" w:rsidRPr="00E7207B" w:rsidRDefault="008B3AA1" w:rsidP="008B3AA1">
      <w:pPr>
        <w:rPr>
          <w:rFonts w:cs="Arial"/>
          <w:szCs w:val="22"/>
        </w:rPr>
      </w:pPr>
    </w:p>
    <w:p w:rsidR="008B3AA1" w:rsidRPr="00E7207B" w:rsidRDefault="008B3AA1" w:rsidP="008B3AA1">
      <w:pPr>
        <w:rPr>
          <w:rFonts w:cs="Arial"/>
          <w:szCs w:val="22"/>
        </w:rPr>
      </w:pPr>
      <w:r w:rsidRPr="00E7207B">
        <w:rPr>
          <w:rFonts w:cs="Arial"/>
          <w:szCs w:val="22"/>
        </w:rPr>
        <w:t xml:space="preserve">Ostali financijski rashodi (šifre 3431 do 3434) izvršeni su iznosu od </w:t>
      </w:r>
      <w:r w:rsidR="005E1E7B" w:rsidRPr="00E7207B">
        <w:rPr>
          <w:rFonts w:cs="Arial"/>
          <w:szCs w:val="22"/>
        </w:rPr>
        <w:t>42.687,98</w:t>
      </w:r>
      <w:r w:rsidRPr="00E7207B">
        <w:rPr>
          <w:rFonts w:cs="Arial"/>
          <w:szCs w:val="22"/>
        </w:rPr>
        <w:t xml:space="preserve">eur, od čega se  </w:t>
      </w:r>
      <w:r w:rsidR="00CB3B8E" w:rsidRPr="00E7207B">
        <w:rPr>
          <w:rFonts w:cs="Arial"/>
          <w:szCs w:val="22"/>
        </w:rPr>
        <w:t>41.364,31</w:t>
      </w:r>
      <w:r w:rsidRPr="00E7207B">
        <w:rPr>
          <w:rFonts w:cs="Arial"/>
          <w:szCs w:val="22"/>
        </w:rPr>
        <w:t xml:space="preserve">eur odnosi na Istarsku županiju, a </w:t>
      </w:r>
      <w:r w:rsidR="005E1E7B" w:rsidRPr="00E7207B">
        <w:rPr>
          <w:rFonts w:cs="Arial"/>
          <w:szCs w:val="22"/>
        </w:rPr>
        <w:t>1.323,67</w:t>
      </w:r>
      <w:r w:rsidRPr="00E7207B">
        <w:rPr>
          <w:rFonts w:cs="Arial"/>
          <w:szCs w:val="22"/>
        </w:rPr>
        <w:t>eur na rashode Vijeća nacionalnih manjina i predstavnika, a odnose se na usluge b</w:t>
      </w:r>
      <w:r w:rsidR="00010AF2">
        <w:rPr>
          <w:rFonts w:cs="Arial"/>
          <w:szCs w:val="22"/>
        </w:rPr>
        <w:t xml:space="preserve">anaka i usluge platnog prometa </w:t>
      </w:r>
      <w:r w:rsidRPr="00E7207B">
        <w:rPr>
          <w:rFonts w:cs="Arial"/>
          <w:szCs w:val="22"/>
        </w:rPr>
        <w:t xml:space="preserve">kao i negativne tečajne razlike i zatezne kamate. </w:t>
      </w:r>
    </w:p>
    <w:p w:rsidR="008045BC" w:rsidRPr="00E7207B" w:rsidRDefault="008045BC" w:rsidP="008045BC">
      <w:pPr>
        <w:rPr>
          <w:rFonts w:cs="Arial"/>
          <w:b/>
          <w:szCs w:val="22"/>
        </w:rPr>
      </w:pPr>
    </w:p>
    <w:p w:rsidR="008045BC" w:rsidRPr="00E7207B" w:rsidRDefault="008045BC" w:rsidP="008045BC">
      <w:pPr>
        <w:rPr>
          <w:rFonts w:cs="Arial"/>
          <w:b/>
          <w:szCs w:val="22"/>
        </w:rPr>
      </w:pPr>
    </w:p>
    <w:p w:rsidR="008045BC" w:rsidRPr="00E7207B" w:rsidRDefault="008045BC" w:rsidP="008045BC">
      <w:pPr>
        <w:rPr>
          <w:rFonts w:cs="Arial"/>
          <w:b/>
          <w:szCs w:val="22"/>
        </w:rPr>
      </w:pPr>
      <w:r w:rsidRPr="00E7207B">
        <w:rPr>
          <w:rFonts w:cs="Arial"/>
          <w:b/>
          <w:szCs w:val="22"/>
        </w:rPr>
        <w:t>Bilješka broj 14. – Subvencije (Šifra 35)</w:t>
      </w:r>
    </w:p>
    <w:p w:rsidR="008045BC" w:rsidRPr="00E7207B" w:rsidRDefault="008045BC" w:rsidP="008045BC">
      <w:pPr>
        <w:rPr>
          <w:rFonts w:cs="Arial"/>
          <w:b/>
          <w:szCs w:val="22"/>
        </w:rPr>
      </w:pPr>
    </w:p>
    <w:p w:rsidR="008B3AA1" w:rsidRPr="00E7207B" w:rsidRDefault="008B3AA1" w:rsidP="008B3AA1">
      <w:pPr>
        <w:rPr>
          <w:rFonts w:cs="Arial"/>
          <w:szCs w:val="22"/>
        </w:rPr>
      </w:pPr>
      <w:r w:rsidRPr="00E7207B">
        <w:rPr>
          <w:rFonts w:cs="Arial"/>
          <w:szCs w:val="22"/>
        </w:rPr>
        <w:t xml:space="preserve">Ovi rashodi ostvareni su u iznosu od </w:t>
      </w:r>
      <w:r w:rsidR="000546C3" w:rsidRPr="00E7207B">
        <w:rPr>
          <w:rFonts w:cs="Arial"/>
          <w:szCs w:val="22"/>
        </w:rPr>
        <w:t>1.588.882,72</w:t>
      </w:r>
      <w:r w:rsidRPr="00E7207B">
        <w:rPr>
          <w:rFonts w:cs="Arial"/>
          <w:szCs w:val="22"/>
        </w:rPr>
        <w:t xml:space="preserve">eur, a odnose se na subvencije trgovačkim društvima u javnom sektoru  za provođenje  projekata u iznosu od </w:t>
      </w:r>
      <w:r w:rsidR="000546C3" w:rsidRPr="00E7207B">
        <w:rPr>
          <w:rFonts w:cs="Arial"/>
          <w:szCs w:val="22"/>
        </w:rPr>
        <w:t>799.130,74</w:t>
      </w:r>
      <w:r w:rsidRPr="00E7207B">
        <w:rPr>
          <w:rFonts w:cs="Arial"/>
          <w:szCs w:val="22"/>
        </w:rPr>
        <w:t xml:space="preserve">eur  te subvencija trgovačkim društvima izvan javnog sektora u iznosu od </w:t>
      </w:r>
      <w:r w:rsidR="000546C3" w:rsidRPr="00E7207B">
        <w:rPr>
          <w:rFonts w:cs="Arial"/>
          <w:szCs w:val="22"/>
        </w:rPr>
        <w:t>434.322,87</w:t>
      </w:r>
      <w:r w:rsidRPr="00E7207B">
        <w:rPr>
          <w:rFonts w:cs="Arial"/>
          <w:szCs w:val="22"/>
        </w:rPr>
        <w:t xml:space="preserve">eur i subvencija poljoprivrednicima u iznosu od </w:t>
      </w:r>
      <w:r w:rsidR="000546C3" w:rsidRPr="00E7207B">
        <w:rPr>
          <w:rFonts w:cs="Arial"/>
          <w:szCs w:val="22"/>
        </w:rPr>
        <w:t>355.429,11</w:t>
      </w:r>
      <w:r w:rsidRPr="00E7207B">
        <w:rPr>
          <w:rFonts w:cs="Arial"/>
          <w:szCs w:val="22"/>
        </w:rPr>
        <w:t>eur</w:t>
      </w:r>
    </w:p>
    <w:p w:rsidR="008B3AA1" w:rsidRPr="00E7207B" w:rsidRDefault="008B3AA1" w:rsidP="008B3AA1">
      <w:pPr>
        <w:rPr>
          <w:rFonts w:cs="Arial"/>
          <w:szCs w:val="22"/>
        </w:rPr>
      </w:pPr>
    </w:p>
    <w:p w:rsidR="001E1E3B" w:rsidRPr="00E7207B" w:rsidRDefault="001E1E3B" w:rsidP="008B3AA1">
      <w:pPr>
        <w:rPr>
          <w:rFonts w:cs="Arial"/>
          <w:szCs w:val="22"/>
        </w:rPr>
      </w:pPr>
    </w:p>
    <w:p w:rsidR="008045BC" w:rsidRPr="00E7207B" w:rsidRDefault="008045BC" w:rsidP="008045BC">
      <w:pPr>
        <w:rPr>
          <w:rFonts w:cs="Arial"/>
          <w:b/>
          <w:szCs w:val="22"/>
        </w:rPr>
      </w:pPr>
      <w:r w:rsidRPr="00E7207B">
        <w:rPr>
          <w:rFonts w:cs="Arial"/>
          <w:b/>
          <w:szCs w:val="22"/>
        </w:rPr>
        <w:t>Bilješka broj 15. - Pomoći dane u inozemstvo i unutar općeg proračuna (Šifra 36</w:t>
      </w:r>
      <w:r w:rsidR="00AE0DF8" w:rsidRPr="00E7207B">
        <w:rPr>
          <w:rFonts w:cs="Arial"/>
          <w:b/>
          <w:szCs w:val="22"/>
        </w:rPr>
        <w:t>,</w:t>
      </w:r>
      <w:r w:rsidRPr="00E7207B">
        <w:rPr>
          <w:rFonts w:cs="Arial"/>
          <w:b/>
          <w:szCs w:val="22"/>
        </w:rPr>
        <w:t xml:space="preserve"> 363 i 366)</w:t>
      </w:r>
    </w:p>
    <w:p w:rsidR="008045BC" w:rsidRPr="00E7207B" w:rsidRDefault="008045BC" w:rsidP="008045BC">
      <w:pPr>
        <w:rPr>
          <w:rFonts w:cs="Arial"/>
          <w:b/>
          <w:szCs w:val="22"/>
        </w:rPr>
      </w:pPr>
    </w:p>
    <w:p w:rsidR="008045BC" w:rsidRPr="00E7207B" w:rsidRDefault="008045BC" w:rsidP="008045BC">
      <w:pPr>
        <w:rPr>
          <w:rFonts w:cs="Arial"/>
          <w:b/>
          <w:szCs w:val="22"/>
        </w:rPr>
      </w:pPr>
    </w:p>
    <w:p w:rsidR="008B3AA1" w:rsidRPr="00E7207B" w:rsidRDefault="008B3AA1" w:rsidP="008B3AA1">
      <w:pPr>
        <w:rPr>
          <w:rFonts w:cs="Arial"/>
          <w:szCs w:val="22"/>
        </w:rPr>
      </w:pPr>
      <w:r w:rsidRPr="00E7207B">
        <w:rPr>
          <w:rFonts w:cs="Arial"/>
          <w:szCs w:val="22"/>
        </w:rPr>
        <w:t xml:space="preserve">Ovi rashodi ostvareni su u iznosu od </w:t>
      </w:r>
      <w:r w:rsidR="00A567B2" w:rsidRPr="00E7207B">
        <w:rPr>
          <w:rFonts w:cs="Arial"/>
          <w:szCs w:val="22"/>
        </w:rPr>
        <w:t>25.046.571,78</w:t>
      </w:r>
      <w:r w:rsidRPr="00E7207B">
        <w:rPr>
          <w:rFonts w:cs="Arial"/>
          <w:szCs w:val="22"/>
        </w:rPr>
        <w:t xml:space="preserve">eur ili za </w:t>
      </w:r>
      <w:r w:rsidR="00A567B2" w:rsidRPr="00E7207B">
        <w:rPr>
          <w:rFonts w:cs="Arial"/>
          <w:szCs w:val="22"/>
        </w:rPr>
        <w:t>27,7</w:t>
      </w:r>
      <w:r w:rsidRPr="00E7207B">
        <w:rPr>
          <w:rFonts w:cs="Arial"/>
          <w:szCs w:val="22"/>
        </w:rPr>
        <w:t xml:space="preserve">% više u odnosu na  prethodnu godinu. </w:t>
      </w:r>
    </w:p>
    <w:p w:rsidR="008B3AA1" w:rsidRPr="00E7207B" w:rsidRDefault="008B3AA1" w:rsidP="008B3AA1">
      <w:pPr>
        <w:rPr>
          <w:rFonts w:cs="Arial"/>
          <w:szCs w:val="22"/>
        </w:rPr>
      </w:pPr>
    </w:p>
    <w:p w:rsidR="008B3AA1" w:rsidRPr="00E7207B" w:rsidRDefault="008B3AA1" w:rsidP="008B3AA1">
      <w:pPr>
        <w:rPr>
          <w:rFonts w:cs="Arial"/>
          <w:szCs w:val="22"/>
        </w:rPr>
      </w:pPr>
      <w:r w:rsidRPr="00E7207B">
        <w:rPr>
          <w:rFonts w:cs="Arial"/>
          <w:szCs w:val="22"/>
        </w:rPr>
        <w:t xml:space="preserve">Pomoći unutar općeg proračuna iznose </w:t>
      </w:r>
      <w:r w:rsidR="00A567B2" w:rsidRPr="00E7207B">
        <w:rPr>
          <w:rFonts w:cs="Arial"/>
          <w:szCs w:val="22"/>
        </w:rPr>
        <w:t>1.259.049,41</w:t>
      </w:r>
      <w:r w:rsidRPr="00E7207B">
        <w:rPr>
          <w:rFonts w:cs="Arial"/>
          <w:szCs w:val="22"/>
        </w:rPr>
        <w:t xml:space="preserve">eur (Šifra 363) i </w:t>
      </w:r>
      <w:r w:rsidR="00A567B2" w:rsidRPr="00E7207B">
        <w:rPr>
          <w:rFonts w:cs="Arial"/>
          <w:szCs w:val="22"/>
        </w:rPr>
        <w:t xml:space="preserve">povećane </w:t>
      </w:r>
      <w:r w:rsidRPr="00E7207B">
        <w:rPr>
          <w:rFonts w:cs="Arial"/>
          <w:szCs w:val="22"/>
        </w:rPr>
        <w:t xml:space="preserve">su za </w:t>
      </w:r>
      <w:r w:rsidR="00A567B2" w:rsidRPr="00E7207B">
        <w:rPr>
          <w:rFonts w:cs="Arial"/>
          <w:szCs w:val="22"/>
        </w:rPr>
        <w:t>35,9</w:t>
      </w:r>
      <w:r w:rsidRPr="00E7207B">
        <w:rPr>
          <w:rFonts w:cs="Arial"/>
          <w:szCs w:val="22"/>
        </w:rPr>
        <w:t xml:space="preserve">% u odnosu na proteklu godinu. Tekuće pomoći unutar općeg proračuna iznose </w:t>
      </w:r>
      <w:r w:rsidR="00A567B2" w:rsidRPr="00E7207B">
        <w:rPr>
          <w:rFonts w:cs="Arial"/>
          <w:szCs w:val="22"/>
        </w:rPr>
        <w:t>554.099,25</w:t>
      </w:r>
      <w:r w:rsidRPr="00E7207B">
        <w:rPr>
          <w:rFonts w:cs="Arial"/>
          <w:szCs w:val="22"/>
        </w:rPr>
        <w:t xml:space="preserve">eur, a kapitalne pomoći </w:t>
      </w:r>
      <w:r w:rsidR="00A567B2" w:rsidRPr="00E7207B">
        <w:rPr>
          <w:rFonts w:cs="Arial"/>
          <w:szCs w:val="22"/>
        </w:rPr>
        <w:t>704.950,16</w:t>
      </w:r>
      <w:r w:rsidRPr="00E7207B">
        <w:rPr>
          <w:rFonts w:cs="Arial"/>
          <w:szCs w:val="22"/>
        </w:rPr>
        <w:t>eur.</w:t>
      </w:r>
    </w:p>
    <w:p w:rsidR="008B3AA1" w:rsidRPr="00E7207B" w:rsidRDefault="008B3AA1" w:rsidP="008B3AA1">
      <w:pPr>
        <w:rPr>
          <w:rFonts w:cs="Arial"/>
          <w:szCs w:val="22"/>
        </w:rPr>
      </w:pPr>
    </w:p>
    <w:p w:rsidR="008B3AA1" w:rsidRPr="00E7207B" w:rsidRDefault="008B3AA1" w:rsidP="008B3AA1">
      <w:pPr>
        <w:rPr>
          <w:rFonts w:cs="Arial"/>
          <w:szCs w:val="22"/>
        </w:rPr>
      </w:pPr>
      <w:r w:rsidRPr="00E7207B">
        <w:rPr>
          <w:rFonts w:cs="Arial"/>
          <w:szCs w:val="22"/>
        </w:rPr>
        <w:t xml:space="preserve">Pomoći proračunskim korisnicima drugog proračuna (šifra 366) izvršene su u iznosu od </w:t>
      </w:r>
      <w:r w:rsidR="00A567B2" w:rsidRPr="00E7207B">
        <w:rPr>
          <w:rFonts w:cs="Arial"/>
          <w:szCs w:val="22"/>
        </w:rPr>
        <w:t>516.656,32</w:t>
      </w:r>
      <w:r w:rsidRPr="00E7207B">
        <w:rPr>
          <w:rFonts w:cs="Arial"/>
          <w:szCs w:val="22"/>
        </w:rPr>
        <w:t xml:space="preserve">eur, a odnose se na institucionalizaciju zavičajne nastave u osnovnim i srednjim školama i dječjim vrtićima. </w:t>
      </w:r>
    </w:p>
    <w:p w:rsidR="008045BC" w:rsidRDefault="008045BC" w:rsidP="008045BC">
      <w:pPr>
        <w:rPr>
          <w:rFonts w:cs="Arial"/>
          <w:b/>
          <w:szCs w:val="22"/>
        </w:rPr>
      </w:pPr>
      <w:r w:rsidRPr="00E7207B">
        <w:rPr>
          <w:rFonts w:cs="Arial"/>
          <w:b/>
          <w:szCs w:val="22"/>
        </w:rPr>
        <w:lastRenderedPageBreak/>
        <w:t>Bilješka broj 16. – Prijenosi proračunskim korisnicima (Šifra 367)</w:t>
      </w:r>
    </w:p>
    <w:p w:rsidR="00EB43CF" w:rsidRPr="00E7207B" w:rsidRDefault="00EB43CF" w:rsidP="008045BC">
      <w:pPr>
        <w:rPr>
          <w:rFonts w:cs="Arial"/>
          <w:b/>
          <w:szCs w:val="22"/>
        </w:rPr>
      </w:pPr>
    </w:p>
    <w:p w:rsidR="008B3AA1" w:rsidRPr="00E7207B" w:rsidRDefault="008B3AA1" w:rsidP="008B3AA1">
      <w:pPr>
        <w:rPr>
          <w:rFonts w:cs="Arial"/>
          <w:szCs w:val="22"/>
        </w:rPr>
      </w:pPr>
      <w:r w:rsidRPr="00E7207B">
        <w:rPr>
          <w:rFonts w:cs="Arial"/>
          <w:szCs w:val="22"/>
        </w:rPr>
        <w:t xml:space="preserve">Prijenosi proračunskim korisnicima u ovom izvještajnom razdoblju iznose </w:t>
      </w:r>
      <w:r w:rsidR="00A567B2" w:rsidRPr="00E7207B">
        <w:rPr>
          <w:rFonts w:cs="Arial"/>
          <w:szCs w:val="22"/>
        </w:rPr>
        <w:t>23.089.917,49</w:t>
      </w:r>
      <w:r w:rsidRPr="00E7207B">
        <w:rPr>
          <w:rFonts w:cs="Arial"/>
          <w:szCs w:val="22"/>
        </w:rPr>
        <w:t>eur i prosljeđuju se proračunskim korisnicima Istarske županije za podmirenje redovnog poslovanja, investicijskog i tekućeg održavanja i kapitalnih ulaganja.</w:t>
      </w:r>
    </w:p>
    <w:p w:rsidR="008B3AA1" w:rsidRPr="00E7207B" w:rsidRDefault="008B3AA1" w:rsidP="008B3AA1">
      <w:pPr>
        <w:rPr>
          <w:rFonts w:cs="Arial"/>
          <w:szCs w:val="22"/>
          <w:highlight w:val="yellow"/>
        </w:rPr>
      </w:pPr>
    </w:p>
    <w:p w:rsidR="001E1E3B" w:rsidRPr="00E7207B" w:rsidRDefault="001E1E3B" w:rsidP="008045BC">
      <w:pPr>
        <w:rPr>
          <w:rFonts w:cs="Arial"/>
          <w:szCs w:val="22"/>
        </w:rPr>
      </w:pPr>
    </w:p>
    <w:p w:rsidR="008045BC" w:rsidRPr="00E7207B" w:rsidRDefault="008045BC" w:rsidP="008045BC">
      <w:pPr>
        <w:rPr>
          <w:rFonts w:cs="Arial"/>
          <w:b/>
          <w:szCs w:val="22"/>
        </w:rPr>
      </w:pPr>
      <w:r w:rsidRPr="00E7207B">
        <w:rPr>
          <w:rFonts w:cs="Arial"/>
          <w:b/>
          <w:szCs w:val="22"/>
        </w:rPr>
        <w:t>Bilješka broj 17. - Naknade građanima i kućanstvima (Šifra 37)</w:t>
      </w:r>
    </w:p>
    <w:p w:rsidR="008045BC" w:rsidRPr="00E7207B" w:rsidRDefault="008045BC" w:rsidP="008045BC">
      <w:pPr>
        <w:rPr>
          <w:rFonts w:cs="Arial"/>
          <w:b/>
          <w:szCs w:val="22"/>
        </w:rPr>
      </w:pPr>
    </w:p>
    <w:p w:rsidR="008B3AA1" w:rsidRPr="00E7207B" w:rsidRDefault="008B3AA1" w:rsidP="008B3AA1">
      <w:pPr>
        <w:rPr>
          <w:rFonts w:cs="Arial"/>
          <w:szCs w:val="22"/>
        </w:rPr>
      </w:pPr>
      <w:r w:rsidRPr="00E7207B">
        <w:rPr>
          <w:rFonts w:cs="Arial"/>
          <w:szCs w:val="22"/>
        </w:rPr>
        <w:t xml:space="preserve">Ovi rashodi ostvareni su u iznosu od </w:t>
      </w:r>
      <w:r w:rsidR="00A567B2" w:rsidRPr="00E7207B">
        <w:rPr>
          <w:rFonts w:cs="Arial"/>
          <w:szCs w:val="22"/>
        </w:rPr>
        <w:t>2.702.030,48</w:t>
      </w:r>
      <w:r w:rsidRPr="00E7207B">
        <w:rPr>
          <w:rFonts w:cs="Arial"/>
          <w:szCs w:val="22"/>
        </w:rPr>
        <w:t>eur ili 1</w:t>
      </w:r>
      <w:r w:rsidR="00A567B2" w:rsidRPr="00E7207B">
        <w:rPr>
          <w:rFonts w:cs="Arial"/>
          <w:szCs w:val="22"/>
        </w:rPr>
        <w:t>4</w:t>
      </w:r>
      <w:r w:rsidRPr="00E7207B">
        <w:rPr>
          <w:rFonts w:cs="Arial"/>
          <w:szCs w:val="22"/>
        </w:rPr>
        <w:t>,</w:t>
      </w:r>
      <w:r w:rsidR="00A567B2" w:rsidRPr="00E7207B">
        <w:rPr>
          <w:rFonts w:cs="Arial"/>
          <w:szCs w:val="22"/>
        </w:rPr>
        <w:t>5</w:t>
      </w:r>
      <w:r w:rsidRPr="00E7207B">
        <w:rPr>
          <w:rFonts w:cs="Arial"/>
          <w:szCs w:val="22"/>
        </w:rPr>
        <w:t xml:space="preserve">% više u odnosu na prethodnu godinu. </w:t>
      </w:r>
    </w:p>
    <w:p w:rsidR="008B3AA1" w:rsidRPr="00E7207B" w:rsidRDefault="008B3AA1" w:rsidP="008B3AA1">
      <w:pPr>
        <w:rPr>
          <w:rFonts w:cs="Arial"/>
          <w:szCs w:val="22"/>
        </w:rPr>
      </w:pPr>
    </w:p>
    <w:p w:rsidR="008B3AA1" w:rsidRPr="00E7207B" w:rsidRDefault="008B3AA1" w:rsidP="008B3AA1">
      <w:pPr>
        <w:rPr>
          <w:rFonts w:cs="Arial"/>
          <w:szCs w:val="22"/>
        </w:rPr>
      </w:pPr>
      <w:r w:rsidRPr="00E7207B">
        <w:rPr>
          <w:rFonts w:cs="Arial"/>
          <w:szCs w:val="22"/>
        </w:rPr>
        <w:t xml:space="preserve">Naknade građanima i kućanstvima u novcu  iznose </w:t>
      </w:r>
      <w:r w:rsidR="00A567B2" w:rsidRPr="00E7207B">
        <w:rPr>
          <w:rFonts w:cs="Arial"/>
          <w:szCs w:val="22"/>
        </w:rPr>
        <w:t>330.942,86</w:t>
      </w:r>
      <w:r w:rsidRPr="00E7207B">
        <w:rPr>
          <w:rFonts w:cs="Arial"/>
          <w:szCs w:val="22"/>
        </w:rPr>
        <w:t>eur, a izvršene su za pomoći u dijelu zdravstva i  socijalne skrbi, za  stipendije i školarine  te za ostale naknade u proračunu.</w:t>
      </w:r>
    </w:p>
    <w:p w:rsidR="008B3AA1" w:rsidRPr="00E7207B" w:rsidRDefault="008B3AA1" w:rsidP="008B3AA1">
      <w:pPr>
        <w:rPr>
          <w:rFonts w:cs="Arial"/>
          <w:szCs w:val="22"/>
        </w:rPr>
      </w:pPr>
    </w:p>
    <w:p w:rsidR="008B3AA1" w:rsidRPr="00E7207B" w:rsidRDefault="008B3AA1" w:rsidP="008B3AA1">
      <w:pPr>
        <w:rPr>
          <w:rFonts w:cs="Arial"/>
          <w:szCs w:val="22"/>
        </w:rPr>
      </w:pPr>
      <w:r w:rsidRPr="00E7207B">
        <w:rPr>
          <w:rFonts w:cs="Arial"/>
          <w:szCs w:val="22"/>
        </w:rPr>
        <w:t xml:space="preserve">Naknade građanima i kućanstvima u naravi izvršene su u iznosu od </w:t>
      </w:r>
      <w:r w:rsidR="00A567B2" w:rsidRPr="00E7207B">
        <w:rPr>
          <w:rFonts w:cs="Arial"/>
          <w:szCs w:val="22"/>
        </w:rPr>
        <w:t>2.371.087,62</w:t>
      </w:r>
      <w:r w:rsidRPr="00E7207B">
        <w:rPr>
          <w:rFonts w:cs="Arial"/>
          <w:szCs w:val="22"/>
        </w:rPr>
        <w:t>eur i odnose se na  sufinanciranje prijevoza učenika osnovnih i srednjih škola, smještaja i prehrane učenika u učeničkim domovima.</w:t>
      </w:r>
    </w:p>
    <w:p w:rsidR="008045BC" w:rsidRPr="00E7207B" w:rsidRDefault="008045BC" w:rsidP="008045BC">
      <w:pPr>
        <w:rPr>
          <w:rFonts w:cs="Arial"/>
          <w:b/>
          <w:szCs w:val="22"/>
        </w:rPr>
      </w:pPr>
    </w:p>
    <w:p w:rsidR="008045BC" w:rsidRPr="00E7207B" w:rsidRDefault="008045BC" w:rsidP="008045BC">
      <w:pPr>
        <w:rPr>
          <w:rFonts w:cs="Arial"/>
          <w:b/>
          <w:szCs w:val="22"/>
        </w:rPr>
      </w:pPr>
      <w:r w:rsidRPr="00E7207B">
        <w:rPr>
          <w:rFonts w:cs="Arial"/>
          <w:b/>
          <w:szCs w:val="22"/>
        </w:rPr>
        <w:t>Bilješka broj 18. – Ostali rashodi (Šifra 38)</w:t>
      </w:r>
    </w:p>
    <w:p w:rsidR="008045BC" w:rsidRPr="00E7207B" w:rsidRDefault="008045BC" w:rsidP="008045BC">
      <w:pPr>
        <w:rPr>
          <w:rFonts w:cs="Arial"/>
          <w:b/>
          <w:szCs w:val="22"/>
        </w:rPr>
      </w:pPr>
    </w:p>
    <w:p w:rsidR="008B3AA1" w:rsidRPr="00E7207B" w:rsidRDefault="008B3AA1" w:rsidP="008B3AA1">
      <w:pPr>
        <w:rPr>
          <w:rFonts w:cs="Arial"/>
          <w:szCs w:val="22"/>
        </w:rPr>
      </w:pPr>
      <w:r w:rsidRPr="00E7207B">
        <w:rPr>
          <w:rFonts w:cs="Arial"/>
          <w:szCs w:val="22"/>
        </w:rPr>
        <w:t xml:space="preserve">Ovi rashodi ostvareni su u iznosu od </w:t>
      </w:r>
      <w:r w:rsidR="00A36999" w:rsidRPr="00E7207B">
        <w:rPr>
          <w:rFonts w:cs="Arial"/>
          <w:szCs w:val="22"/>
        </w:rPr>
        <w:t>4.122.641,94eur ili 27,7</w:t>
      </w:r>
      <w:r w:rsidRPr="00E7207B">
        <w:rPr>
          <w:rFonts w:cs="Arial"/>
          <w:szCs w:val="22"/>
        </w:rPr>
        <w:t xml:space="preserve">% više u odnosu na prethodnu godinu, a odnose se na troškove tekućih donacija te troškove kapitalnih donacija i kapitalnih pomoći. </w:t>
      </w:r>
    </w:p>
    <w:p w:rsidR="008B3AA1" w:rsidRPr="00E7207B" w:rsidRDefault="008B3AA1" w:rsidP="008B3AA1">
      <w:pPr>
        <w:rPr>
          <w:rFonts w:cs="Arial"/>
          <w:szCs w:val="22"/>
        </w:rPr>
      </w:pPr>
    </w:p>
    <w:p w:rsidR="008B3AA1" w:rsidRPr="00E7207B" w:rsidRDefault="008B3AA1" w:rsidP="008B3AA1">
      <w:pPr>
        <w:rPr>
          <w:rFonts w:cs="Arial"/>
          <w:szCs w:val="22"/>
        </w:rPr>
      </w:pPr>
      <w:r w:rsidRPr="00E7207B">
        <w:rPr>
          <w:rFonts w:cs="Arial"/>
          <w:szCs w:val="22"/>
        </w:rPr>
        <w:t xml:space="preserve">Tekuće donacije (Šifra 381) ostvarene su u iznosu od </w:t>
      </w:r>
      <w:r w:rsidR="00A36999" w:rsidRPr="00E7207B">
        <w:rPr>
          <w:rFonts w:cs="Arial"/>
          <w:szCs w:val="22"/>
        </w:rPr>
        <w:t>3.068.816,67</w:t>
      </w:r>
      <w:r w:rsidRPr="00E7207B">
        <w:rPr>
          <w:rFonts w:cs="Arial"/>
          <w:szCs w:val="22"/>
        </w:rPr>
        <w:t>eur ili 2</w:t>
      </w:r>
      <w:r w:rsidR="00A36999" w:rsidRPr="00E7207B">
        <w:rPr>
          <w:rFonts w:cs="Arial"/>
          <w:szCs w:val="22"/>
        </w:rPr>
        <w:t>5,2</w:t>
      </w:r>
      <w:r w:rsidRPr="00E7207B">
        <w:rPr>
          <w:rFonts w:cs="Arial"/>
          <w:szCs w:val="22"/>
        </w:rPr>
        <w:t xml:space="preserve">% više od prethodne godine, a izvršene su za financiranje neprofitnih organizacija (zdravstva, socijalne skrbi i kulture), sportske kulture, tehničke kulture, političkih stranaka, nevladinih udruga, udruga građana, sufinanciranje Vatrogasne zajednice Istarske županije, plaćanje po programima javnih potreba u kulturi i javnih potreba u  zdravstvu i socijalnoj skrbi, financiranje političkih stranaka i humanitarnih organizacija, Sportskog saveza i Saveza tehničke kulture. </w:t>
      </w:r>
    </w:p>
    <w:p w:rsidR="008B3AA1" w:rsidRPr="00E7207B" w:rsidRDefault="008B3AA1" w:rsidP="008B3AA1">
      <w:pPr>
        <w:rPr>
          <w:rFonts w:cs="Arial"/>
          <w:szCs w:val="22"/>
        </w:rPr>
      </w:pPr>
    </w:p>
    <w:p w:rsidR="008B3AA1" w:rsidRPr="00E7207B" w:rsidRDefault="008B3AA1" w:rsidP="008B3AA1">
      <w:pPr>
        <w:rPr>
          <w:rFonts w:cs="Arial"/>
          <w:szCs w:val="22"/>
        </w:rPr>
      </w:pPr>
      <w:r w:rsidRPr="00E7207B">
        <w:rPr>
          <w:rFonts w:cs="Arial"/>
          <w:szCs w:val="22"/>
        </w:rPr>
        <w:t xml:space="preserve">Kapitalne donacije neprofitnim organizacijama (Šifra 382) izvršene su u iznosu od </w:t>
      </w:r>
      <w:r w:rsidR="00A36999" w:rsidRPr="00E7207B">
        <w:rPr>
          <w:rFonts w:cs="Arial"/>
          <w:szCs w:val="22"/>
        </w:rPr>
        <w:t>994.100,00</w:t>
      </w:r>
      <w:r w:rsidRPr="00E7207B">
        <w:rPr>
          <w:rFonts w:cs="Arial"/>
          <w:szCs w:val="22"/>
        </w:rPr>
        <w:t xml:space="preserve">eur i odnose se na ulaganja u Lučke uprave </w:t>
      </w:r>
      <w:proofErr w:type="spellStart"/>
      <w:r w:rsidRPr="00E7207B">
        <w:rPr>
          <w:rFonts w:cs="Arial"/>
          <w:szCs w:val="22"/>
        </w:rPr>
        <w:t>Rabac</w:t>
      </w:r>
      <w:proofErr w:type="spellEnd"/>
      <w:r w:rsidRPr="00E7207B">
        <w:rPr>
          <w:rFonts w:cs="Arial"/>
          <w:szCs w:val="22"/>
        </w:rPr>
        <w:t>, Rovinj, Novigrad i Poreč kao i za nabavu vatrogasnog vozila.</w:t>
      </w:r>
    </w:p>
    <w:p w:rsidR="008B3AA1" w:rsidRPr="00E7207B" w:rsidRDefault="008B3AA1" w:rsidP="008B3AA1">
      <w:pPr>
        <w:rPr>
          <w:rFonts w:cs="Arial"/>
          <w:szCs w:val="22"/>
        </w:rPr>
      </w:pPr>
    </w:p>
    <w:p w:rsidR="00381986" w:rsidRPr="00E7207B" w:rsidRDefault="00381986" w:rsidP="008045BC">
      <w:pPr>
        <w:rPr>
          <w:rFonts w:cs="Arial"/>
          <w:szCs w:val="22"/>
        </w:rPr>
      </w:pPr>
    </w:p>
    <w:p w:rsidR="008045BC" w:rsidRPr="00E7207B" w:rsidRDefault="008045BC" w:rsidP="008045BC">
      <w:pPr>
        <w:rPr>
          <w:rFonts w:cs="Arial"/>
          <w:b/>
          <w:szCs w:val="22"/>
        </w:rPr>
      </w:pPr>
      <w:r w:rsidRPr="00E7207B">
        <w:rPr>
          <w:rFonts w:cs="Arial"/>
          <w:b/>
          <w:szCs w:val="22"/>
        </w:rPr>
        <w:t>Bilješka broj 19. –  Prihodi od prodaje nefinancijske imovine (Šifra 7111)</w:t>
      </w:r>
    </w:p>
    <w:p w:rsidR="008045BC" w:rsidRPr="00E7207B" w:rsidRDefault="008045BC" w:rsidP="008045BC">
      <w:pPr>
        <w:rPr>
          <w:rFonts w:cs="Arial"/>
          <w:b/>
          <w:szCs w:val="22"/>
        </w:rPr>
      </w:pPr>
    </w:p>
    <w:p w:rsidR="008045BC" w:rsidRPr="00E7207B" w:rsidRDefault="008045BC" w:rsidP="008045BC">
      <w:pPr>
        <w:rPr>
          <w:rFonts w:cs="Arial"/>
          <w:b/>
          <w:szCs w:val="22"/>
        </w:rPr>
      </w:pPr>
    </w:p>
    <w:p w:rsidR="008B3AA1" w:rsidRPr="00E7207B" w:rsidRDefault="008B3AA1" w:rsidP="008B3AA1">
      <w:pPr>
        <w:rPr>
          <w:rFonts w:cs="Arial"/>
          <w:szCs w:val="22"/>
        </w:rPr>
      </w:pPr>
      <w:r w:rsidRPr="00E7207B">
        <w:rPr>
          <w:rFonts w:cs="Arial"/>
          <w:szCs w:val="22"/>
        </w:rPr>
        <w:t xml:space="preserve">Ovi prihodi ostvareni su u iznosu od </w:t>
      </w:r>
      <w:r w:rsidR="00C4419F" w:rsidRPr="00E7207B">
        <w:rPr>
          <w:rFonts w:cs="Arial"/>
          <w:szCs w:val="22"/>
        </w:rPr>
        <w:t xml:space="preserve">22.728,58eur ili </w:t>
      </w:r>
      <w:r w:rsidRPr="00E7207B">
        <w:rPr>
          <w:rFonts w:cs="Arial"/>
          <w:szCs w:val="22"/>
        </w:rPr>
        <w:t>8,</w:t>
      </w:r>
      <w:r w:rsidR="00C4419F" w:rsidRPr="00E7207B">
        <w:rPr>
          <w:rFonts w:cs="Arial"/>
          <w:szCs w:val="22"/>
        </w:rPr>
        <w:t>6</w:t>
      </w:r>
      <w:r w:rsidRPr="00E7207B">
        <w:rPr>
          <w:rFonts w:cs="Arial"/>
          <w:szCs w:val="22"/>
        </w:rPr>
        <w:t xml:space="preserve">% </w:t>
      </w:r>
      <w:r w:rsidR="00C4419F" w:rsidRPr="00E7207B">
        <w:rPr>
          <w:rFonts w:cs="Arial"/>
          <w:szCs w:val="22"/>
        </w:rPr>
        <w:t>više</w:t>
      </w:r>
      <w:r w:rsidRPr="00E7207B">
        <w:rPr>
          <w:rFonts w:cs="Arial"/>
          <w:szCs w:val="22"/>
        </w:rPr>
        <w:t xml:space="preserve"> od prethodne godine i to od prodaje poljoprivrednog zemljišta, ostalog zemljišta te ostalih stambenih objekata.</w:t>
      </w:r>
    </w:p>
    <w:p w:rsidR="008B3AA1" w:rsidRPr="00E7207B" w:rsidRDefault="008B3AA1" w:rsidP="008B3AA1">
      <w:pPr>
        <w:rPr>
          <w:rFonts w:cs="Arial"/>
          <w:szCs w:val="22"/>
        </w:rPr>
      </w:pPr>
    </w:p>
    <w:p w:rsidR="008B3AA1" w:rsidRPr="008673A6" w:rsidRDefault="008B3AA1" w:rsidP="008B3AA1">
      <w:pPr>
        <w:rPr>
          <w:rFonts w:cs="Arial"/>
          <w:szCs w:val="22"/>
        </w:rPr>
      </w:pPr>
    </w:p>
    <w:p w:rsidR="008045BC" w:rsidRPr="000C7C8E" w:rsidRDefault="008045BC" w:rsidP="008045BC">
      <w:pPr>
        <w:rPr>
          <w:rFonts w:cs="Arial"/>
          <w:b/>
          <w:szCs w:val="22"/>
        </w:rPr>
      </w:pPr>
      <w:r w:rsidRPr="000C7C8E">
        <w:rPr>
          <w:rFonts w:cs="Arial"/>
          <w:b/>
          <w:szCs w:val="22"/>
        </w:rPr>
        <w:t>Bilješka broj 20. – Rashodi za nabavu nefinancijske imovine (Šifra 4)</w:t>
      </w:r>
    </w:p>
    <w:p w:rsidR="008045BC" w:rsidRPr="000C7C8E" w:rsidRDefault="008045BC" w:rsidP="008045BC">
      <w:pPr>
        <w:rPr>
          <w:rFonts w:cs="Arial"/>
          <w:b/>
          <w:szCs w:val="22"/>
        </w:rPr>
      </w:pPr>
    </w:p>
    <w:p w:rsidR="008045BC" w:rsidRPr="000C7C8E" w:rsidRDefault="008045BC" w:rsidP="008045BC">
      <w:pPr>
        <w:rPr>
          <w:rFonts w:cs="Arial"/>
          <w:b/>
          <w:szCs w:val="22"/>
        </w:rPr>
      </w:pPr>
      <w:r w:rsidRPr="000C7C8E">
        <w:rPr>
          <w:rFonts w:cs="Arial"/>
          <w:b/>
          <w:szCs w:val="22"/>
        </w:rPr>
        <w:t xml:space="preserve"> </w:t>
      </w:r>
    </w:p>
    <w:p w:rsidR="008B3AA1" w:rsidRPr="000C7C8E" w:rsidRDefault="008B3AA1" w:rsidP="008B3AA1">
      <w:pPr>
        <w:rPr>
          <w:rFonts w:cs="Arial"/>
          <w:szCs w:val="22"/>
        </w:rPr>
      </w:pPr>
      <w:r w:rsidRPr="000C7C8E">
        <w:rPr>
          <w:rFonts w:cs="Arial"/>
          <w:szCs w:val="22"/>
        </w:rPr>
        <w:t xml:space="preserve">Rashodi za nabavu nefinancijske imovine iznose </w:t>
      </w:r>
      <w:r w:rsidR="004F13D1" w:rsidRPr="000C7C8E">
        <w:rPr>
          <w:rFonts w:cs="Arial"/>
          <w:szCs w:val="22"/>
        </w:rPr>
        <w:t>9.512.909,74</w:t>
      </w:r>
      <w:r w:rsidRPr="000C7C8E">
        <w:rPr>
          <w:rFonts w:cs="Arial"/>
          <w:szCs w:val="22"/>
        </w:rPr>
        <w:t xml:space="preserve">eur i bilježe povećanje od </w:t>
      </w:r>
      <w:r w:rsidR="00661329">
        <w:rPr>
          <w:rFonts w:cs="Arial"/>
          <w:szCs w:val="22"/>
        </w:rPr>
        <w:t>1</w:t>
      </w:r>
      <w:r w:rsidR="007029AD">
        <w:rPr>
          <w:rFonts w:cs="Arial"/>
          <w:szCs w:val="22"/>
        </w:rPr>
        <w:t xml:space="preserve">20,7% </w:t>
      </w:r>
      <w:r w:rsidRPr="000C7C8E">
        <w:rPr>
          <w:rFonts w:cs="Arial"/>
          <w:szCs w:val="22"/>
        </w:rPr>
        <w:t xml:space="preserve">u odnosu na isto razdoblje prethodne godine. </w:t>
      </w:r>
    </w:p>
    <w:p w:rsidR="008B3AA1" w:rsidRPr="000C7C8E" w:rsidRDefault="008B3AA1" w:rsidP="008B3AA1">
      <w:pPr>
        <w:rPr>
          <w:rFonts w:cs="Arial"/>
          <w:szCs w:val="22"/>
        </w:rPr>
      </w:pPr>
    </w:p>
    <w:p w:rsidR="008B3AA1" w:rsidRPr="00EB43CF" w:rsidRDefault="008B3AA1" w:rsidP="008B3AA1">
      <w:pPr>
        <w:rPr>
          <w:rFonts w:cs="Arial"/>
          <w:szCs w:val="22"/>
        </w:rPr>
      </w:pPr>
      <w:r w:rsidRPr="00EB43CF">
        <w:rPr>
          <w:rFonts w:cs="Arial"/>
          <w:szCs w:val="22"/>
        </w:rPr>
        <w:t xml:space="preserve">Njima su financirani rashodi za nabavu dugotrajne </w:t>
      </w:r>
      <w:proofErr w:type="spellStart"/>
      <w:r w:rsidRPr="00EB43CF">
        <w:rPr>
          <w:rFonts w:cs="Arial"/>
          <w:szCs w:val="22"/>
        </w:rPr>
        <w:t>neproizvedene</w:t>
      </w:r>
      <w:proofErr w:type="spellEnd"/>
      <w:r w:rsidRPr="00EB43CF">
        <w:rPr>
          <w:rFonts w:cs="Arial"/>
          <w:szCs w:val="22"/>
        </w:rPr>
        <w:t xml:space="preserve"> imovine Istarske županije u iznosu </w:t>
      </w:r>
      <w:r w:rsidR="004F13D1" w:rsidRPr="00EB43CF">
        <w:rPr>
          <w:rFonts w:cs="Arial"/>
          <w:szCs w:val="22"/>
        </w:rPr>
        <w:t>214.688,28</w:t>
      </w:r>
      <w:r w:rsidRPr="00EB43CF">
        <w:rPr>
          <w:rFonts w:cs="Arial"/>
          <w:szCs w:val="22"/>
        </w:rPr>
        <w:t xml:space="preserve">eur, od čega se na licence odnosi </w:t>
      </w:r>
      <w:r w:rsidR="004F13D1" w:rsidRPr="00EB43CF">
        <w:rPr>
          <w:rFonts w:cs="Arial"/>
          <w:szCs w:val="22"/>
        </w:rPr>
        <w:t>4.908,58</w:t>
      </w:r>
      <w:r w:rsidRPr="00EB43CF">
        <w:rPr>
          <w:rFonts w:cs="Arial"/>
          <w:szCs w:val="22"/>
        </w:rPr>
        <w:t xml:space="preserve">eur, na ulaganja na tuđoj imovini radi prava korištenja </w:t>
      </w:r>
      <w:r w:rsidR="009C4B9C" w:rsidRPr="00EB43CF">
        <w:rPr>
          <w:rFonts w:cs="Arial"/>
          <w:szCs w:val="22"/>
        </w:rPr>
        <w:t>64.759,46</w:t>
      </w:r>
      <w:r w:rsidRPr="00EB43CF">
        <w:rPr>
          <w:rFonts w:cs="Arial"/>
          <w:szCs w:val="22"/>
        </w:rPr>
        <w:t>eur</w:t>
      </w:r>
      <w:r w:rsidR="009C4B9C" w:rsidRPr="00EB43CF">
        <w:rPr>
          <w:rFonts w:cs="Arial"/>
          <w:szCs w:val="22"/>
        </w:rPr>
        <w:t xml:space="preserve"> i ostala ulaganja 2.250,00eur.</w:t>
      </w:r>
      <w:r w:rsidR="007A1593" w:rsidRPr="00EB43CF">
        <w:rPr>
          <w:rFonts w:cs="Arial"/>
          <w:szCs w:val="22"/>
        </w:rPr>
        <w:t xml:space="preserve"> </w:t>
      </w:r>
      <w:r w:rsidR="009C4B9C" w:rsidRPr="00EB43CF">
        <w:rPr>
          <w:rFonts w:cs="Arial"/>
          <w:szCs w:val="22"/>
        </w:rPr>
        <w:t>U ostalu nematerij</w:t>
      </w:r>
      <w:r w:rsidR="009D0278" w:rsidRPr="00EB43CF">
        <w:rPr>
          <w:rFonts w:cs="Arial"/>
          <w:szCs w:val="22"/>
        </w:rPr>
        <w:t xml:space="preserve">alnu imovinu ukupno je uloženo </w:t>
      </w:r>
      <w:r w:rsidR="008676FA">
        <w:rPr>
          <w:rFonts w:cs="Arial"/>
          <w:szCs w:val="22"/>
        </w:rPr>
        <w:t xml:space="preserve">142.770,24eur, od čega na </w:t>
      </w:r>
      <w:r w:rsidRPr="00EB43CF">
        <w:rPr>
          <w:rFonts w:cs="Arial"/>
          <w:szCs w:val="22"/>
        </w:rPr>
        <w:t>rashod</w:t>
      </w:r>
      <w:r w:rsidR="007A1593" w:rsidRPr="00EB43CF">
        <w:rPr>
          <w:rFonts w:cs="Arial"/>
          <w:szCs w:val="22"/>
        </w:rPr>
        <w:t>e</w:t>
      </w:r>
      <w:r w:rsidRPr="00EB43CF">
        <w:rPr>
          <w:rFonts w:cs="Arial"/>
          <w:szCs w:val="22"/>
        </w:rPr>
        <w:t xml:space="preserve"> za </w:t>
      </w:r>
      <w:r w:rsidR="007A1593" w:rsidRPr="00EB43CF">
        <w:rPr>
          <w:rFonts w:cs="Arial"/>
          <w:szCs w:val="22"/>
        </w:rPr>
        <w:t xml:space="preserve">izradu </w:t>
      </w:r>
      <w:r w:rsidR="009D0278" w:rsidRPr="00EB43CF">
        <w:rPr>
          <w:rFonts w:cs="Arial"/>
          <w:szCs w:val="22"/>
        </w:rPr>
        <w:t xml:space="preserve">projekte dokumentacije za obnovu spomeničke baštine, kuće orgulja u Svetom </w:t>
      </w:r>
      <w:proofErr w:type="spellStart"/>
      <w:r w:rsidR="009D0278" w:rsidRPr="00EB43CF">
        <w:rPr>
          <w:rFonts w:cs="Arial"/>
          <w:szCs w:val="22"/>
        </w:rPr>
        <w:t>Lovreču</w:t>
      </w:r>
      <w:proofErr w:type="spellEnd"/>
      <w:r w:rsidR="009D0278" w:rsidRPr="00EB43CF">
        <w:rPr>
          <w:rFonts w:cs="Arial"/>
          <w:szCs w:val="22"/>
        </w:rPr>
        <w:t xml:space="preserve"> u </w:t>
      </w:r>
      <w:r w:rsidR="009D0278" w:rsidRPr="00EB43CF">
        <w:rPr>
          <w:rFonts w:cs="Arial"/>
          <w:szCs w:val="22"/>
        </w:rPr>
        <w:lastRenderedPageBreak/>
        <w:t xml:space="preserve">iznosu od  16.450,00eur, za obnovu spomeničke baštine - kuće Jurja Dobrile u Velom Ježenju u iznosu od 12.500,00eur, </w:t>
      </w:r>
      <w:r w:rsidRPr="00EB43CF">
        <w:rPr>
          <w:rFonts w:cs="Arial"/>
          <w:szCs w:val="22"/>
        </w:rPr>
        <w:t xml:space="preserve">i ulaganja u sustav navodnjavanja </w:t>
      </w:r>
      <w:proofErr w:type="spellStart"/>
      <w:r w:rsidRPr="00EB43CF">
        <w:rPr>
          <w:rFonts w:cs="Arial"/>
          <w:szCs w:val="22"/>
        </w:rPr>
        <w:t>Bujštine</w:t>
      </w:r>
      <w:proofErr w:type="spellEnd"/>
      <w:r w:rsidRPr="00EB43CF">
        <w:rPr>
          <w:rFonts w:cs="Arial"/>
          <w:szCs w:val="22"/>
        </w:rPr>
        <w:t xml:space="preserve"> u iz</w:t>
      </w:r>
      <w:r w:rsidR="00E24581" w:rsidRPr="00EB43CF">
        <w:rPr>
          <w:rFonts w:cs="Arial"/>
          <w:szCs w:val="22"/>
        </w:rPr>
        <w:t>nosu od 20.572,04</w:t>
      </w:r>
      <w:r w:rsidRPr="00EB43CF">
        <w:rPr>
          <w:rFonts w:cs="Arial"/>
          <w:szCs w:val="22"/>
        </w:rPr>
        <w:t>eur</w:t>
      </w:r>
      <w:r w:rsidR="008676FA">
        <w:rPr>
          <w:rFonts w:cs="Arial"/>
          <w:szCs w:val="22"/>
        </w:rPr>
        <w:t xml:space="preserve"> i ostalu nematerijalnu imovinu 93.248,20eur.</w:t>
      </w:r>
    </w:p>
    <w:p w:rsidR="008B3AA1" w:rsidRPr="008673A6" w:rsidRDefault="008B3AA1" w:rsidP="008B3AA1">
      <w:pPr>
        <w:rPr>
          <w:rFonts w:cs="Arial"/>
          <w:szCs w:val="22"/>
        </w:rPr>
      </w:pPr>
    </w:p>
    <w:p w:rsidR="008B3AA1" w:rsidRPr="00DE1212" w:rsidRDefault="008B3AA1" w:rsidP="008B3AA1">
      <w:pPr>
        <w:rPr>
          <w:rFonts w:cs="Arial"/>
          <w:szCs w:val="22"/>
        </w:rPr>
      </w:pPr>
      <w:r w:rsidRPr="00DE1212">
        <w:rPr>
          <w:rFonts w:cs="Arial"/>
          <w:szCs w:val="22"/>
        </w:rPr>
        <w:t xml:space="preserve">Za rashode za nabavu proizvedene dugotrajne imovine izvršeno je </w:t>
      </w:r>
      <w:r w:rsidR="00FA3F4E" w:rsidRPr="00DE1212">
        <w:rPr>
          <w:rFonts w:cs="Arial"/>
          <w:szCs w:val="22"/>
        </w:rPr>
        <w:t>1.130.204,40</w:t>
      </w:r>
      <w:r w:rsidRPr="00DE1212">
        <w:rPr>
          <w:rFonts w:cs="Arial"/>
          <w:szCs w:val="22"/>
        </w:rPr>
        <w:t xml:space="preserve">eur ili </w:t>
      </w:r>
      <w:r w:rsidR="00FA3F4E" w:rsidRPr="00DE1212">
        <w:rPr>
          <w:rFonts w:cs="Arial"/>
          <w:szCs w:val="22"/>
        </w:rPr>
        <w:t>64,0</w:t>
      </w:r>
      <w:r w:rsidRPr="00DE1212">
        <w:rPr>
          <w:rFonts w:cs="Arial"/>
          <w:szCs w:val="22"/>
        </w:rPr>
        <w:t xml:space="preserve">% manje u odnosu na isto razdoblje prethodne godine. Od čega najviše otpada na uredsku opremu i namještaj </w:t>
      </w:r>
      <w:r w:rsidR="00FA3F4E" w:rsidRPr="00DE1212">
        <w:rPr>
          <w:rFonts w:cs="Arial"/>
          <w:szCs w:val="22"/>
        </w:rPr>
        <w:t>115.724,30</w:t>
      </w:r>
      <w:r w:rsidRPr="00DE1212">
        <w:rPr>
          <w:rFonts w:cs="Arial"/>
          <w:szCs w:val="22"/>
        </w:rPr>
        <w:t xml:space="preserve">eur, </w:t>
      </w:r>
      <w:r w:rsidR="00684BA7" w:rsidRPr="00DE1212">
        <w:rPr>
          <w:rFonts w:cs="Arial"/>
          <w:szCs w:val="22"/>
        </w:rPr>
        <w:t xml:space="preserve">na opremu za grijanje, ventilaciju i hlađenje 23.643,70eur, </w:t>
      </w:r>
      <w:r w:rsidRPr="00DE1212">
        <w:rPr>
          <w:rFonts w:cs="Arial"/>
          <w:szCs w:val="22"/>
        </w:rPr>
        <w:t>opremu za održavanje i zaštitu u okviru projekta FIRESPILL 223.</w:t>
      </w:r>
      <w:r w:rsidR="00FA3F4E" w:rsidRPr="00DE1212">
        <w:rPr>
          <w:rFonts w:cs="Arial"/>
          <w:szCs w:val="22"/>
        </w:rPr>
        <w:t>173,59</w:t>
      </w:r>
      <w:r w:rsidRPr="00DE1212">
        <w:rPr>
          <w:rFonts w:cs="Arial"/>
          <w:szCs w:val="22"/>
        </w:rPr>
        <w:t xml:space="preserve">eur, medicinsku i laboratorijsku opremu 143.728,59eur, </w:t>
      </w:r>
      <w:r w:rsidR="006B7427" w:rsidRPr="00DE1212">
        <w:rPr>
          <w:rFonts w:cs="Arial"/>
          <w:szCs w:val="22"/>
        </w:rPr>
        <w:t xml:space="preserve">na nabavu opreme u okviru projekta Dobra energija 115.148,03eur, </w:t>
      </w:r>
      <w:r w:rsidRPr="00DE1212">
        <w:rPr>
          <w:rFonts w:cs="Arial"/>
          <w:szCs w:val="22"/>
        </w:rPr>
        <w:t xml:space="preserve">na ulaganja u računalne programe otpada </w:t>
      </w:r>
      <w:r w:rsidR="00684BA7" w:rsidRPr="00DE1212">
        <w:rPr>
          <w:rFonts w:cs="Arial"/>
          <w:szCs w:val="22"/>
        </w:rPr>
        <w:t>269.193,32</w:t>
      </w:r>
      <w:r w:rsidRPr="00DE1212">
        <w:rPr>
          <w:rFonts w:cs="Arial"/>
          <w:szCs w:val="22"/>
        </w:rPr>
        <w:t xml:space="preserve">eur, a odnose se na prilagodbu aplikacijskih sustava zbog uvođenja  </w:t>
      </w:r>
      <w:proofErr w:type="spellStart"/>
      <w:r w:rsidRPr="00DE1212">
        <w:rPr>
          <w:rFonts w:cs="Arial"/>
          <w:szCs w:val="22"/>
        </w:rPr>
        <w:t>eur</w:t>
      </w:r>
      <w:proofErr w:type="spellEnd"/>
      <w:r w:rsidRPr="00DE1212">
        <w:rPr>
          <w:rFonts w:cs="Arial"/>
          <w:szCs w:val="22"/>
        </w:rPr>
        <w:t>-a, a na prijevozna sredstva u pomorskom i riječnom prometu otpada 228.577,57eur.</w:t>
      </w:r>
      <w:r w:rsidR="00BE1289" w:rsidRPr="00DE1212">
        <w:rPr>
          <w:rFonts w:cs="Arial"/>
          <w:szCs w:val="22"/>
        </w:rPr>
        <w:t xml:space="preserve"> Na vijeća nacionalnih manjina i predstavnika odnosi se 11.015,30eur.</w:t>
      </w:r>
    </w:p>
    <w:p w:rsidR="008B3AA1" w:rsidRPr="00BE1289" w:rsidRDefault="008B3AA1" w:rsidP="008B3AA1">
      <w:pPr>
        <w:rPr>
          <w:rFonts w:cs="Arial"/>
          <w:color w:val="2E74B5" w:themeColor="accent1" w:themeShade="BF"/>
          <w:szCs w:val="22"/>
        </w:rPr>
      </w:pPr>
    </w:p>
    <w:p w:rsidR="008B3AA1" w:rsidRPr="00835576" w:rsidRDefault="008B3AA1" w:rsidP="008B3AA1">
      <w:pPr>
        <w:rPr>
          <w:rFonts w:cs="Arial"/>
          <w:b/>
          <w:szCs w:val="22"/>
        </w:rPr>
      </w:pPr>
      <w:r w:rsidRPr="00835576">
        <w:rPr>
          <w:rFonts w:cs="Arial"/>
          <w:szCs w:val="22"/>
        </w:rPr>
        <w:t xml:space="preserve">Rashodi za dodatna ulaganja na nefinancijskoj imovini u iznosu od </w:t>
      </w:r>
      <w:r w:rsidR="00BE1289" w:rsidRPr="00835576">
        <w:rPr>
          <w:rFonts w:cs="Arial"/>
          <w:szCs w:val="22"/>
        </w:rPr>
        <w:t>8.168.017,06</w:t>
      </w:r>
      <w:r w:rsidRPr="00835576">
        <w:rPr>
          <w:rFonts w:cs="Arial"/>
          <w:szCs w:val="22"/>
        </w:rPr>
        <w:t xml:space="preserve">eur odnose se na ulaganja vezano uz dogradnju i rekonstrukciju Centra za kompetentno cjeloživotno razvijanje inovativnih znanja i vještina u sektoru ugostiteljstva i turizma Pula, a vezano uz projekt KLIK, na dodatne radove na TSŠ Leonardo da Vinci Buje, PŠ </w:t>
      </w:r>
      <w:proofErr w:type="spellStart"/>
      <w:r w:rsidRPr="00835576">
        <w:rPr>
          <w:rFonts w:cs="Arial"/>
          <w:szCs w:val="22"/>
        </w:rPr>
        <w:t>Martinski</w:t>
      </w:r>
      <w:proofErr w:type="spellEnd"/>
      <w:r w:rsidRPr="00835576">
        <w:rPr>
          <w:rFonts w:cs="Arial"/>
          <w:szCs w:val="22"/>
        </w:rPr>
        <w:t>, za radove na zgradi Društvenog centra Pula</w:t>
      </w:r>
      <w:r w:rsidR="00C17CC4" w:rsidRPr="00835576">
        <w:rPr>
          <w:rFonts w:cs="Arial"/>
          <w:szCs w:val="22"/>
        </w:rPr>
        <w:t xml:space="preserve">, rekonstrukciju i dogradnju doma </w:t>
      </w:r>
      <w:proofErr w:type="spellStart"/>
      <w:r w:rsidR="00C17CC4" w:rsidRPr="00835576">
        <w:rPr>
          <w:rFonts w:cs="Arial"/>
          <w:szCs w:val="22"/>
        </w:rPr>
        <w:t>Alfredo</w:t>
      </w:r>
      <w:proofErr w:type="spellEnd"/>
      <w:r w:rsidR="00C17CC4" w:rsidRPr="00835576">
        <w:rPr>
          <w:rFonts w:cs="Arial"/>
          <w:szCs w:val="22"/>
        </w:rPr>
        <w:t xml:space="preserve"> Štiglić u Puli</w:t>
      </w:r>
      <w:r w:rsidRPr="00835576">
        <w:rPr>
          <w:rFonts w:cs="Arial"/>
          <w:szCs w:val="22"/>
        </w:rPr>
        <w:t xml:space="preserve"> i na građevinske radove vezano uz Centar za razvoj ribarstva i akvakulture u Rovinju.</w:t>
      </w:r>
      <w:r w:rsidRPr="00835576">
        <w:rPr>
          <w:rFonts w:cs="Arial"/>
          <w:b/>
          <w:szCs w:val="22"/>
        </w:rPr>
        <w:t xml:space="preserve"> </w:t>
      </w:r>
    </w:p>
    <w:p w:rsidR="008045BC" w:rsidRPr="00835576" w:rsidRDefault="008045BC" w:rsidP="008045BC">
      <w:pPr>
        <w:rPr>
          <w:rFonts w:cs="Arial"/>
          <w:b/>
          <w:szCs w:val="22"/>
        </w:rPr>
      </w:pPr>
    </w:p>
    <w:p w:rsidR="00381986" w:rsidRDefault="00381986" w:rsidP="008045BC">
      <w:pPr>
        <w:rPr>
          <w:rFonts w:cs="Arial"/>
          <w:b/>
          <w:szCs w:val="22"/>
        </w:rPr>
      </w:pPr>
    </w:p>
    <w:p w:rsidR="008045BC" w:rsidRPr="00835576" w:rsidRDefault="008045BC" w:rsidP="008045BC">
      <w:pPr>
        <w:rPr>
          <w:rFonts w:cs="Arial"/>
          <w:b/>
          <w:szCs w:val="22"/>
        </w:rPr>
      </w:pPr>
      <w:r w:rsidRPr="00835576">
        <w:rPr>
          <w:rFonts w:cs="Arial"/>
          <w:b/>
          <w:szCs w:val="22"/>
        </w:rPr>
        <w:t>Bilješka broj 21. – Primici od  financijske imovine i zaduživanja (Šifra 8)</w:t>
      </w:r>
    </w:p>
    <w:p w:rsidR="008B3AA1" w:rsidRPr="00835576" w:rsidRDefault="008B3AA1" w:rsidP="008045BC">
      <w:pPr>
        <w:rPr>
          <w:rFonts w:cs="Arial"/>
          <w:b/>
          <w:szCs w:val="22"/>
        </w:rPr>
      </w:pPr>
    </w:p>
    <w:p w:rsidR="008B3AA1" w:rsidRPr="00835576" w:rsidRDefault="008B3AA1" w:rsidP="008B3AA1">
      <w:pPr>
        <w:rPr>
          <w:rFonts w:cs="Arial"/>
          <w:szCs w:val="22"/>
        </w:rPr>
      </w:pPr>
      <w:r w:rsidRPr="00835576">
        <w:rPr>
          <w:rFonts w:cs="Arial"/>
          <w:szCs w:val="22"/>
        </w:rPr>
        <w:t xml:space="preserve">Ukupni primici od financijske imovine i zaduživanja u ovom izvještajnom razdoblju iznose </w:t>
      </w:r>
      <w:r w:rsidR="00A26205" w:rsidRPr="00835576">
        <w:rPr>
          <w:rFonts w:cs="Arial"/>
          <w:szCs w:val="22"/>
        </w:rPr>
        <w:t>1.432.365,71</w:t>
      </w:r>
      <w:r w:rsidRPr="00835576">
        <w:rPr>
          <w:rFonts w:cs="Arial"/>
          <w:szCs w:val="22"/>
        </w:rPr>
        <w:t xml:space="preserve">eur od čega se </w:t>
      </w:r>
      <w:r w:rsidR="00A26205" w:rsidRPr="00835576">
        <w:rPr>
          <w:rFonts w:cs="Arial"/>
          <w:szCs w:val="22"/>
        </w:rPr>
        <w:t>1.293.523,47</w:t>
      </w:r>
      <w:r w:rsidRPr="00835576">
        <w:rPr>
          <w:rFonts w:cs="Arial"/>
          <w:szCs w:val="22"/>
        </w:rPr>
        <w:t xml:space="preserve">eur odnosi na Fond za razvoj poljoprivrede i agroturizma Istarske županije, a na </w:t>
      </w:r>
      <w:r w:rsidR="00F042C0" w:rsidRPr="00835576">
        <w:rPr>
          <w:rFonts w:cs="Arial"/>
          <w:szCs w:val="22"/>
        </w:rPr>
        <w:t>primitke od prodaje dionica i udjela u</w:t>
      </w:r>
      <w:r w:rsidRPr="00835576">
        <w:rPr>
          <w:rFonts w:cs="Arial"/>
          <w:szCs w:val="22"/>
        </w:rPr>
        <w:t xml:space="preserve"> trgovačkom društvu Vodoprivreda d.o.o. Buzet u odnosi se </w:t>
      </w:r>
      <w:r w:rsidR="00F042C0" w:rsidRPr="00835576">
        <w:rPr>
          <w:rFonts w:cs="Arial"/>
          <w:szCs w:val="22"/>
        </w:rPr>
        <w:t>6.867,61</w:t>
      </w:r>
      <w:r w:rsidRPr="00835576">
        <w:rPr>
          <w:rFonts w:cs="Arial"/>
          <w:szCs w:val="22"/>
        </w:rPr>
        <w:t>eur.</w:t>
      </w:r>
      <w:r w:rsidR="00F042C0" w:rsidRPr="00835576">
        <w:rPr>
          <w:rFonts w:cs="Arial"/>
          <w:szCs w:val="22"/>
        </w:rPr>
        <w:t xml:space="preserve"> Na primitke po kreditu za dom za starije i nemoćne osobe </w:t>
      </w:r>
      <w:proofErr w:type="spellStart"/>
      <w:r w:rsidR="00F042C0" w:rsidRPr="00835576">
        <w:rPr>
          <w:rFonts w:cs="Arial"/>
          <w:szCs w:val="22"/>
        </w:rPr>
        <w:t>Alfredo</w:t>
      </w:r>
      <w:proofErr w:type="spellEnd"/>
      <w:r w:rsidR="00F042C0" w:rsidRPr="00835576">
        <w:rPr>
          <w:rFonts w:cs="Arial"/>
          <w:szCs w:val="22"/>
        </w:rPr>
        <w:t xml:space="preserve"> Štiglić odnosi se 131.974,63eur.</w:t>
      </w:r>
    </w:p>
    <w:p w:rsidR="008B3AA1" w:rsidRPr="007F5A6F" w:rsidRDefault="008B3AA1" w:rsidP="008045BC">
      <w:pPr>
        <w:rPr>
          <w:rFonts w:cs="Arial"/>
          <w:b/>
          <w:szCs w:val="22"/>
        </w:rPr>
      </w:pPr>
    </w:p>
    <w:p w:rsidR="00381986" w:rsidRPr="007F5A6F" w:rsidRDefault="00381986" w:rsidP="008045BC">
      <w:pPr>
        <w:rPr>
          <w:rFonts w:cs="Arial"/>
          <w:b/>
          <w:szCs w:val="22"/>
        </w:rPr>
      </w:pPr>
    </w:p>
    <w:p w:rsidR="008045BC" w:rsidRPr="002E2B5A" w:rsidRDefault="008045BC" w:rsidP="008045BC">
      <w:pPr>
        <w:rPr>
          <w:rFonts w:cs="Arial"/>
          <w:b/>
          <w:szCs w:val="22"/>
        </w:rPr>
      </w:pPr>
      <w:r w:rsidRPr="002E2B5A">
        <w:rPr>
          <w:rFonts w:cs="Arial"/>
          <w:b/>
          <w:szCs w:val="22"/>
        </w:rPr>
        <w:t>Bilješka broj 22. – Izdaci za  financijsku  imovinu i otplate zajmova (Šifra 5)</w:t>
      </w:r>
    </w:p>
    <w:p w:rsidR="008045BC" w:rsidRPr="002E2B5A" w:rsidRDefault="008045BC" w:rsidP="008045BC">
      <w:pPr>
        <w:rPr>
          <w:rFonts w:cs="Arial"/>
          <w:b/>
          <w:szCs w:val="22"/>
        </w:rPr>
      </w:pPr>
    </w:p>
    <w:p w:rsidR="008045BC" w:rsidRPr="002E2B5A" w:rsidRDefault="008045BC" w:rsidP="008045BC">
      <w:pPr>
        <w:rPr>
          <w:rFonts w:cs="Arial"/>
          <w:b/>
          <w:szCs w:val="22"/>
        </w:rPr>
      </w:pPr>
    </w:p>
    <w:p w:rsidR="008B3AA1" w:rsidRPr="002E2B5A" w:rsidRDefault="008B3AA1" w:rsidP="008B3AA1">
      <w:pPr>
        <w:rPr>
          <w:rFonts w:cs="Arial"/>
          <w:szCs w:val="22"/>
        </w:rPr>
      </w:pPr>
      <w:r w:rsidRPr="002E2B5A">
        <w:rPr>
          <w:rFonts w:cs="Arial"/>
          <w:szCs w:val="22"/>
        </w:rPr>
        <w:t xml:space="preserve">Izdaci za financijsku imovinu, otplatu zajmova izvršeni su u iznosu od </w:t>
      </w:r>
      <w:r w:rsidR="003F3437" w:rsidRPr="002E2B5A">
        <w:rPr>
          <w:rFonts w:cs="Arial"/>
          <w:szCs w:val="22"/>
        </w:rPr>
        <w:t>3.118.981,73</w:t>
      </w:r>
      <w:r w:rsidRPr="002E2B5A">
        <w:rPr>
          <w:rFonts w:cs="Arial"/>
          <w:szCs w:val="22"/>
        </w:rPr>
        <w:t>eur ili 1</w:t>
      </w:r>
      <w:r w:rsidR="003F3437" w:rsidRPr="002E2B5A">
        <w:rPr>
          <w:rFonts w:cs="Arial"/>
          <w:szCs w:val="22"/>
        </w:rPr>
        <w:t>7,</w:t>
      </w:r>
      <w:r w:rsidRPr="002E2B5A">
        <w:rPr>
          <w:rFonts w:cs="Arial"/>
          <w:szCs w:val="22"/>
        </w:rPr>
        <w:t>9% manje u odnosu na prethodnu godine.</w:t>
      </w:r>
    </w:p>
    <w:p w:rsidR="008B3AA1" w:rsidRPr="0039007C" w:rsidRDefault="008B3AA1" w:rsidP="008B3AA1">
      <w:pPr>
        <w:rPr>
          <w:rFonts w:cs="Arial"/>
          <w:color w:val="2E74B5" w:themeColor="accent1" w:themeShade="BF"/>
          <w:szCs w:val="22"/>
        </w:rPr>
      </w:pPr>
    </w:p>
    <w:p w:rsidR="008B3AA1" w:rsidRPr="002E2B5A" w:rsidRDefault="00472230" w:rsidP="008B3AA1">
      <w:pPr>
        <w:rPr>
          <w:rFonts w:cs="Arial"/>
          <w:szCs w:val="22"/>
        </w:rPr>
      </w:pPr>
      <w:r w:rsidRPr="002E2B5A">
        <w:rPr>
          <w:rFonts w:cs="Arial"/>
          <w:szCs w:val="22"/>
        </w:rPr>
        <w:t xml:space="preserve">Izdaci za dane zajmove trgovačkim društvima i obrtnicima izvan javnog sektora </w:t>
      </w:r>
      <w:r w:rsidR="008B3AA1" w:rsidRPr="002E2B5A">
        <w:rPr>
          <w:rFonts w:cs="Arial"/>
          <w:szCs w:val="22"/>
        </w:rPr>
        <w:t xml:space="preserve">izvršeni su u iznosu </w:t>
      </w:r>
      <w:r w:rsidRPr="002E2B5A">
        <w:rPr>
          <w:rFonts w:cs="Arial"/>
          <w:szCs w:val="22"/>
        </w:rPr>
        <w:t>1.749.133,19</w:t>
      </w:r>
      <w:r w:rsidR="008B3AA1" w:rsidRPr="002E2B5A">
        <w:rPr>
          <w:rFonts w:cs="Arial"/>
          <w:szCs w:val="22"/>
        </w:rPr>
        <w:t>eur ili 21,</w:t>
      </w:r>
      <w:r w:rsidRPr="002E2B5A">
        <w:rPr>
          <w:rFonts w:cs="Arial"/>
          <w:szCs w:val="22"/>
        </w:rPr>
        <w:t>9</w:t>
      </w:r>
      <w:r w:rsidR="008B3AA1" w:rsidRPr="002E2B5A">
        <w:rPr>
          <w:rFonts w:cs="Arial"/>
          <w:szCs w:val="22"/>
        </w:rPr>
        <w:t>% manje od istog razdoblja prethodne godine, a odnose se na zajmove Fonda za razvoj poljoprivrede i agroturizma Istarske županije.</w:t>
      </w:r>
    </w:p>
    <w:p w:rsidR="008B3AA1" w:rsidRPr="0039007C" w:rsidRDefault="008B3AA1" w:rsidP="008B3AA1">
      <w:pPr>
        <w:rPr>
          <w:rFonts w:cs="Arial"/>
          <w:color w:val="2E74B5" w:themeColor="accent1" w:themeShade="BF"/>
          <w:szCs w:val="22"/>
        </w:rPr>
      </w:pPr>
    </w:p>
    <w:p w:rsidR="008B3AA1" w:rsidRPr="002E2B5A" w:rsidRDefault="008B3AA1" w:rsidP="008B3AA1">
      <w:pPr>
        <w:rPr>
          <w:rFonts w:cs="Arial"/>
          <w:szCs w:val="22"/>
        </w:rPr>
      </w:pPr>
      <w:r w:rsidRPr="002E2B5A">
        <w:rPr>
          <w:rFonts w:cs="Arial"/>
          <w:szCs w:val="22"/>
        </w:rPr>
        <w:t xml:space="preserve">Izdaci za dionice i udjele u glavnici iznose 135,68eur i odnose se na usklađenje temeljnog kapitala društva </w:t>
      </w:r>
      <w:proofErr w:type="spellStart"/>
      <w:r w:rsidRPr="002E2B5A">
        <w:rPr>
          <w:rFonts w:cs="Arial"/>
          <w:szCs w:val="22"/>
        </w:rPr>
        <w:t>Azrri</w:t>
      </w:r>
      <w:proofErr w:type="spellEnd"/>
      <w:r w:rsidRPr="002E2B5A">
        <w:rPr>
          <w:rFonts w:cs="Arial"/>
          <w:szCs w:val="22"/>
        </w:rPr>
        <w:t xml:space="preserve"> d.o.o. Pazin.</w:t>
      </w:r>
    </w:p>
    <w:p w:rsidR="008B3AA1" w:rsidRPr="002E2B5A" w:rsidRDefault="008B3AA1" w:rsidP="008B3AA1">
      <w:pPr>
        <w:rPr>
          <w:rFonts w:cs="Arial"/>
          <w:szCs w:val="22"/>
        </w:rPr>
      </w:pPr>
    </w:p>
    <w:p w:rsidR="008B3AA1" w:rsidRPr="002E2B5A" w:rsidRDefault="008B3AA1" w:rsidP="008B3AA1">
      <w:pPr>
        <w:rPr>
          <w:rFonts w:cs="Arial"/>
          <w:szCs w:val="22"/>
        </w:rPr>
      </w:pPr>
      <w:r w:rsidRPr="002E2B5A">
        <w:rPr>
          <w:rFonts w:cs="Arial"/>
          <w:szCs w:val="22"/>
        </w:rPr>
        <w:t xml:space="preserve">Izdaci za otplatu glavnice primljenih kredita u 2023.godini iznosili su </w:t>
      </w:r>
      <w:r w:rsidR="00472230" w:rsidRPr="002E2B5A">
        <w:rPr>
          <w:rFonts w:cs="Arial"/>
          <w:szCs w:val="22"/>
        </w:rPr>
        <w:t>1.369.712,86</w:t>
      </w:r>
      <w:r w:rsidRPr="002E2B5A">
        <w:rPr>
          <w:rFonts w:cs="Arial"/>
          <w:szCs w:val="22"/>
        </w:rPr>
        <w:t>eur (šifra54) i bilježe smanjenje od 1</w:t>
      </w:r>
      <w:r w:rsidR="00472230" w:rsidRPr="002E2B5A">
        <w:rPr>
          <w:rFonts w:cs="Arial"/>
          <w:szCs w:val="22"/>
        </w:rPr>
        <w:t>1,6</w:t>
      </w:r>
      <w:r w:rsidRPr="002E2B5A">
        <w:rPr>
          <w:rFonts w:cs="Arial"/>
          <w:szCs w:val="22"/>
        </w:rPr>
        <w:t xml:space="preserve">%. </w:t>
      </w:r>
    </w:p>
    <w:p w:rsidR="008B3AA1" w:rsidRPr="002E2B5A" w:rsidRDefault="008B3AA1" w:rsidP="008B3AA1">
      <w:pPr>
        <w:rPr>
          <w:rFonts w:cs="Arial"/>
          <w:szCs w:val="22"/>
        </w:rPr>
      </w:pPr>
    </w:p>
    <w:p w:rsidR="008B3AA1" w:rsidRPr="002E2B5A" w:rsidRDefault="008B3AA1" w:rsidP="008B3AA1">
      <w:pPr>
        <w:rPr>
          <w:rFonts w:cs="Arial"/>
          <w:szCs w:val="22"/>
        </w:rPr>
      </w:pPr>
      <w:r w:rsidRPr="002E2B5A">
        <w:rPr>
          <w:rFonts w:cs="Arial"/>
          <w:szCs w:val="22"/>
        </w:rPr>
        <w:t>Od navedenog iznosa 2</w:t>
      </w:r>
      <w:r w:rsidR="00472230" w:rsidRPr="002E2B5A">
        <w:rPr>
          <w:rFonts w:cs="Arial"/>
          <w:szCs w:val="22"/>
        </w:rPr>
        <w:t>68.979,29</w:t>
      </w:r>
      <w:r w:rsidRPr="002E2B5A">
        <w:rPr>
          <w:rFonts w:cs="Arial"/>
          <w:szCs w:val="22"/>
        </w:rPr>
        <w:t xml:space="preserve">eur odnosi se na kredit Zagrebačke banke za ulaganja u domove za starije osobe, a na kredit Privredne banke Zagreb otpada </w:t>
      </w:r>
      <w:r w:rsidR="00F31AC9" w:rsidRPr="002E2B5A">
        <w:rPr>
          <w:rFonts w:cs="Arial"/>
          <w:szCs w:val="22"/>
        </w:rPr>
        <w:t>575.132,16</w:t>
      </w:r>
      <w:r w:rsidRPr="002E2B5A">
        <w:rPr>
          <w:rFonts w:cs="Arial"/>
          <w:szCs w:val="22"/>
        </w:rPr>
        <w:t>eur.</w:t>
      </w:r>
    </w:p>
    <w:p w:rsidR="008B3AA1" w:rsidRPr="002E2B5A" w:rsidRDefault="008B3AA1" w:rsidP="008B3AA1">
      <w:pPr>
        <w:rPr>
          <w:rFonts w:cs="Arial"/>
          <w:szCs w:val="22"/>
        </w:rPr>
      </w:pPr>
    </w:p>
    <w:p w:rsidR="008B3AA1" w:rsidRPr="002E2B5A" w:rsidRDefault="008B3AA1" w:rsidP="008B3AA1">
      <w:pPr>
        <w:rPr>
          <w:rFonts w:cs="Arial"/>
          <w:szCs w:val="22"/>
        </w:rPr>
      </w:pPr>
      <w:r w:rsidRPr="002E2B5A">
        <w:rPr>
          <w:rFonts w:cs="Arial"/>
          <w:szCs w:val="22"/>
        </w:rPr>
        <w:t xml:space="preserve">Otplata glavnice primljenih zajmova za izgradnju ŽCGO </w:t>
      </w:r>
      <w:proofErr w:type="spellStart"/>
      <w:r w:rsidRPr="002E2B5A">
        <w:rPr>
          <w:rFonts w:cs="Arial"/>
          <w:szCs w:val="22"/>
        </w:rPr>
        <w:t>Kaštijun</w:t>
      </w:r>
      <w:proofErr w:type="spellEnd"/>
      <w:r w:rsidRPr="002E2B5A">
        <w:rPr>
          <w:rFonts w:cs="Arial"/>
          <w:szCs w:val="22"/>
        </w:rPr>
        <w:t xml:space="preserve"> iznosila je </w:t>
      </w:r>
      <w:r w:rsidR="0039007C" w:rsidRPr="002E2B5A">
        <w:rPr>
          <w:rFonts w:cs="Arial"/>
          <w:szCs w:val="22"/>
        </w:rPr>
        <w:t>508.347,44e</w:t>
      </w:r>
      <w:r w:rsidRPr="002E2B5A">
        <w:rPr>
          <w:rFonts w:cs="Arial"/>
          <w:szCs w:val="22"/>
        </w:rPr>
        <w:t xml:space="preserve">ur. </w:t>
      </w:r>
    </w:p>
    <w:p w:rsidR="004E7869" w:rsidRPr="002E2B5A" w:rsidRDefault="004E7869" w:rsidP="008B3AA1">
      <w:pPr>
        <w:rPr>
          <w:rFonts w:cs="Arial"/>
          <w:szCs w:val="22"/>
        </w:rPr>
      </w:pPr>
    </w:p>
    <w:p w:rsidR="00F57945" w:rsidRPr="002E2B5A" w:rsidRDefault="004E7869" w:rsidP="008045BC">
      <w:pPr>
        <w:rPr>
          <w:rFonts w:cs="Arial"/>
          <w:szCs w:val="22"/>
        </w:rPr>
      </w:pPr>
      <w:r w:rsidRPr="002E2B5A">
        <w:t>Povrat naplaćenih sredstava u Državni proračun Republike Hrvatske za 2023. godinu –temeljem ugovora o poslovnoj suradnji s Ministarstvom poljoprivrede RH za kreditiranje razvitka poljoprivrede u Istarskoj županiji</w:t>
      </w:r>
      <w:r w:rsidR="00445C2F" w:rsidRPr="002E2B5A">
        <w:t xml:space="preserve"> iznosio je 17.253,97eur</w:t>
      </w:r>
      <w:r w:rsidRPr="002E2B5A">
        <w:t>.</w:t>
      </w:r>
    </w:p>
    <w:p w:rsidR="008045BC" w:rsidRPr="0026677D" w:rsidRDefault="008045BC" w:rsidP="008045BC">
      <w:pPr>
        <w:rPr>
          <w:rFonts w:cs="Arial"/>
          <w:b/>
          <w:szCs w:val="22"/>
        </w:rPr>
      </w:pPr>
      <w:r w:rsidRPr="0026677D">
        <w:rPr>
          <w:rFonts w:cs="Arial"/>
          <w:b/>
          <w:szCs w:val="22"/>
        </w:rPr>
        <w:lastRenderedPageBreak/>
        <w:t>IZVJEŠTAJ OBVEZAMA (OBRAZAC OBVEZE)</w:t>
      </w:r>
    </w:p>
    <w:p w:rsidR="00EB43CF" w:rsidRPr="0026677D" w:rsidRDefault="00EB43CF" w:rsidP="008045BC">
      <w:pPr>
        <w:rPr>
          <w:rFonts w:cs="Arial"/>
          <w:b/>
          <w:szCs w:val="22"/>
        </w:rPr>
      </w:pPr>
    </w:p>
    <w:p w:rsidR="00EB43CF" w:rsidRPr="0026677D" w:rsidRDefault="00EB43CF" w:rsidP="008045BC">
      <w:pPr>
        <w:rPr>
          <w:rFonts w:cs="Arial"/>
          <w:b/>
          <w:szCs w:val="22"/>
        </w:rPr>
      </w:pPr>
    </w:p>
    <w:p w:rsidR="00EB43CF" w:rsidRPr="0026677D" w:rsidRDefault="00EB43CF" w:rsidP="008045BC">
      <w:pPr>
        <w:rPr>
          <w:rFonts w:cs="Arial"/>
          <w:b/>
          <w:szCs w:val="22"/>
        </w:rPr>
      </w:pPr>
    </w:p>
    <w:p w:rsidR="008045BC" w:rsidRPr="0026677D" w:rsidRDefault="008045BC" w:rsidP="008045BC">
      <w:pPr>
        <w:rPr>
          <w:rFonts w:cs="Arial"/>
          <w:b/>
          <w:szCs w:val="22"/>
        </w:rPr>
      </w:pPr>
      <w:r w:rsidRPr="0026677D">
        <w:rPr>
          <w:rFonts w:cs="Arial"/>
          <w:b/>
          <w:szCs w:val="22"/>
        </w:rPr>
        <w:t>Bilješka broj 2</w:t>
      </w:r>
      <w:r w:rsidR="001531E0">
        <w:rPr>
          <w:rFonts w:cs="Arial"/>
          <w:b/>
          <w:szCs w:val="22"/>
        </w:rPr>
        <w:t>3</w:t>
      </w:r>
      <w:r w:rsidRPr="0026677D">
        <w:rPr>
          <w:rFonts w:cs="Arial"/>
          <w:b/>
          <w:szCs w:val="22"/>
        </w:rPr>
        <w:t>.</w:t>
      </w:r>
    </w:p>
    <w:p w:rsidR="008045BC" w:rsidRPr="0026677D" w:rsidRDefault="008045BC" w:rsidP="008045BC">
      <w:pPr>
        <w:rPr>
          <w:rFonts w:cs="Arial"/>
          <w:b/>
          <w:szCs w:val="22"/>
        </w:rPr>
      </w:pPr>
    </w:p>
    <w:p w:rsidR="008045BC" w:rsidRPr="0026677D" w:rsidRDefault="008045BC" w:rsidP="008045BC">
      <w:pPr>
        <w:rPr>
          <w:rFonts w:cs="Arial"/>
          <w:b/>
          <w:szCs w:val="22"/>
        </w:rPr>
      </w:pPr>
    </w:p>
    <w:p w:rsidR="008B3AA1" w:rsidRPr="0026677D" w:rsidRDefault="008B3AA1" w:rsidP="008B3AA1">
      <w:pPr>
        <w:rPr>
          <w:rFonts w:cs="Arial"/>
          <w:szCs w:val="22"/>
        </w:rPr>
      </w:pPr>
      <w:r w:rsidRPr="0026677D">
        <w:rPr>
          <w:rFonts w:cs="Arial"/>
          <w:szCs w:val="22"/>
        </w:rPr>
        <w:t xml:space="preserve">Stanje obveza na dan 01.01.2023.g. iznosilo je 20.582.391,25eur. Sastoje se od obveza Istarske županije u iznosu od 20.581.658,22eur i obveza Vijeća nacionalnih manjina i predstavnika u iznosu od 733,03eur. </w:t>
      </w:r>
    </w:p>
    <w:p w:rsidR="008B3AA1" w:rsidRPr="0026677D" w:rsidRDefault="008B3AA1" w:rsidP="008B3AA1">
      <w:pPr>
        <w:rPr>
          <w:rFonts w:cs="Arial"/>
          <w:szCs w:val="22"/>
        </w:rPr>
      </w:pPr>
    </w:p>
    <w:p w:rsidR="008B3AA1" w:rsidRPr="0026677D" w:rsidRDefault="008B3AA1" w:rsidP="008B3AA1">
      <w:pPr>
        <w:rPr>
          <w:rFonts w:cs="Arial"/>
          <w:szCs w:val="22"/>
        </w:rPr>
      </w:pPr>
      <w:r w:rsidRPr="0026677D">
        <w:rPr>
          <w:rFonts w:cs="Arial"/>
          <w:szCs w:val="22"/>
        </w:rPr>
        <w:t xml:space="preserve">Obveze iskazane u Obrascu Obaveze </w:t>
      </w:r>
      <w:r w:rsidR="00F90C49" w:rsidRPr="0026677D">
        <w:rPr>
          <w:rFonts w:cs="Arial"/>
          <w:szCs w:val="22"/>
        </w:rPr>
        <w:t>na dan 31</w:t>
      </w:r>
      <w:r w:rsidRPr="0026677D">
        <w:rPr>
          <w:rFonts w:cs="Arial"/>
          <w:szCs w:val="22"/>
        </w:rPr>
        <w:t>.</w:t>
      </w:r>
      <w:r w:rsidR="00F90C49" w:rsidRPr="0026677D">
        <w:rPr>
          <w:rFonts w:cs="Arial"/>
          <w:szCs w:val="22"/>
        </w:rPr>
        <w:t>12</w:t>
      </w:r>
      <w:r w:rsidRPr="0026677D">
        <w:rPr>
          <w:rFonts w:cs="Arial"/>
          <w:szCs w:val="22"/>
        </w:rPr>
        <w:t xml:space="preserve">.2023.g. iznosile su </w:t>
      </w:r>
      <w:r w:rsidR="00F90C49" w:rsidRPr="0026677D">
        <w:rPr>
          <w:rFonts w:cs="Arial"/>
          <w:szCs w:val="22"/>
        </w:rPr>
        <w:t>19.741.145,28</w:t>
      </w:r>
      <w:r w:rsidRPr="0026677D">
        <w:rPr>
          <w:rFonts w:cs="Arial"/>
          <w:szCs w:val="22"/>
        </w:rPr>
        <w:t xml:space="preserve">eur od čega se na Istarsku županiju odnosi </w:t>
      </w:r>
      <w:r w:rsidR="00F90C49" w:rsidRPr="0026677D">
        <w:rPr>
          <w:rFonts w:cs="Arial"/>
          <w:szCs w:val="22"/>
        </w:rPr>
        <w:t>19.740.013,39</w:t>
      </w:r>
      <w:r w:rsidRPr="0026677D">
        <w:rPr>
          <w:rFonts w:cs="Arial"/>
          <w:szCs w:val="22"/>
        </w:rPr>
        <w:t xml:space="preserve">eur, a na Vijeća nacionalnih manjina </w:t>
      </w:r>
      <w:r w:rsidR="00F90C49" w:rsidRPr="0026677D">
        <w:rPr>
          <w:rFonts w:cs="Arial"/>
          <w:szCs w:val="22"/>
        </w:rPr>
        <w:t>1.131,89</w:t>
      </w:r>
      <w:r w:rsidRPr="0026677D">
        <w:rPr>
          <w:rFonts w:cs="Arial"/>
          <w:szCs w:val="22"/>
        </w:rPr>
        <w:t xml:space="preserve">eur. Obveze za odgođene rashode Istarske županije iznose </w:t>
      </w:r>
      <w:r w:rsidR="00F90C49" w:rsidRPr="0026677D">
        <w:rPr>
          <w:rFonts w:cs="Arial"/>
          <w:szCs w:val="22"/>
        </w:rPr>
        <w:t>7.226,17</w:t>
      </w:r>
      <w:r w:rsidRPr="0026677D">
        <w:rPr>
          <w:rFonts w:cs="Arial"/>
          <w:szCs w:val="22"/>
        </w:rPr>
        <w:t>eur</w:t>
      </w:r>
      <w:r w:rsidR="00D918F1" w:rsidRPr="0026677D">
        <w:rPr>
          <w:rFonts w:cs="Arial"/>
          <w:szCs w:val="22"/>
        </w:rPr>
        <w:t>.</w:t>
      </w:r>
      <w:r w:rsidRPr="0026677D">
        <w:rPr>
          <w:rFonts w:cs="Arial"/>
          <w:szCs w:val="22"/>
        </w:rPr>
        <w:t xml:space="preserve"> </w:t>
      </w:r>
    </w:p>
    <w:p w:rsidR="001E1E3B" w:rsidRPr="00F90C49" w:rsidRDefault="001E1E3B" w:rsidP="008B3AA1">
      <w:pPr>
        <w:rPr>
          <w:rFonts w:cs="Arial"/>
          <w:color w:val="2E74B5" w:themeColor="accent1" w:themeShade="BF"/>
          <w:szCs w:val="22"/>
        </w:rPr>
      </w:pPr>
    </w:p>
    <w:p w:rsidR="008B3AA1" w:rsidRPr="008673A6" w:rsidRDefault="008B3AA1" w:rsidP="008B3AA1">
      <w:pPr>
        <w:rPr>
          <w:rFonts w:cs="Arial"/>
          <w:szCs w:val="22"/>
        </w:rPr>
      </w:pPr>
    </w:p>
    <w:p w:rsidR="008B3AA1" w:rsidRPr="008673A6" w:rsidRDefault="008B3AA1" w:rsidP="008B3AA1">
      <w:pPr>
        <w:rPr>
          <w:rFonts w:ascii="Calibri" w:hAnsi="Calibri" w:cs="Calibri"/>
          <w:b/>
          <w:bCs/>
          <w:color w:val="000000"/>
          <w:szCs w:val="22"/>
          <w:lang w:eastAsia="hr-HR"/>
        </w:rPr>
      </w:pPr>
      <w:r w:rsidRPr="008673A6">
        <w:rPr>
          <w:rFonts w:ascii="Calibri" w:hAnsi="Calibri" w:cs="Calibri"/>
          <w:b/>
          <w:bCs/>
          <w:color w:val="000000"/>
          <w:szCs w:val="22"/>
          <w:lang w:eastAsia="hr-HR"/>
        </w:rPr>
        <w:t>Tablica: Struktura obaveza Istarske županije na dan 3</w:t>
      </w:r>
      <w:r w:rsidR="0096151D">
        <w:rPr>
          <w:rFonts w:ascii="Calibri" w:hAnsi="Calibri" w:cs="Calibri"/>
          <w:b/>
          <w:bCs/>
          <w:color w:val="000000"/>
          <w:szCs w:val="22"/>
          <w:lang w:eastAsia="hr-HR"/>
        </w:rPr>
        <w:t>1</w:t>
      </w:r>
      <w:r w:rsidRPr="008673A6">
        <w:rPr>
          <w:rFonts w:ascii="Calibri" w:hAnsi="Calibri" w:cs="Calibri"/>
          <w:b/>
          <w:bCs/>
          <w:color w:val="000000"/>
          <w:szCs w:val="22"/>
          <w:lang w:eastAsia="hr-HR"/>
        </w:rPr>
        <w:t>.</w:t>
      </w:r>
      <w:r w:rsidR="0096151D">
        <w:rPr>
          <w:rFonts w:ascii="Calibri" w:hAnsi="Calibri" w:cs="Calibri"/>
          <w:b/>
          <w:bCs/>
          <w:color w:val="000000"/>
          <w:szCs w:val="22"/>
          <w:lang w:eastAsia="hr-HR"/>
        </w:rPr>
        <w:t>12</w:t>
      </w:r>
      <w:r w:rsidRPr="008673A6">
        <w:rPr>
          <w:rFonts w:ascii="Calibri" w:hAnsi="Calibri" w:cs="Calibri"/>
          <w:b/>
          <w:bCs/>
          <w:color w:val="000000"/>
          <w:szCs w:val="22"/>
          <w:lang w:eastAsia="hr-HR"/>
        </w:rPr>
        <w:t>.2023. godine.</w:t>
      </w:r>
    </w:p>
    <w:tbl>
      <w:tblPr>
        <w:tblW w:w="8080" w:type="dxa"/>
        <w:tblLook w:val="04A0" w:firstRow="1" w:lastRow="0" w:firstColumn="1" w:lastColumn="0" w:noHBand="0" w:noVBand="1"/>
      </w:tblPr>
      <w:tblGrid>
        <w:gridCol w:w="888"/>
        <w:gridCol w:w="2680"/>
        <w:gridCol w:w="631"/>
        <w:gridCol w:w="1506"/>
        <w:gridCol w:w="1506"/>
        <w:gridCol w:w="890"/>
      </w:tblGrid>
      <w:tr w:rsidR="00946648" w:rsidRPr="00946648" w:rsidTr="00946648">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E7E6E6"/>
            <w:hideMark/>
          </w:tcPr>
          <w:p w:rsidR="00946648" w:rsidRPr="00946648" w:rsidRDefault="00946648" w:rsidP="00946648">
            <w:pPr>
              <w:jc w:val="left"/>
              <w:rPr>
                <w:rFonts w:ascii="Calibri" w:hAnsi="Calibri" w:cs="Calibri"/>
                <w:b/>
                <w:bCs/>
                <w:color w:val="000000"/>
                <w:szCs w:val="22"/>
                <w:lang w:eastAsia="hr-HR"/>
              </w:rPr>
            </w:pPr>
            <w:r w:rsidRPr="00946648">
              <w:rPr>
                <w:rFonts w:ascii="Calibri" w:hAnsi="Calibri" w:cs="Calibri"/>
                <w:b/>
                <w:bCs/>
                <w:color w:val="000000"/>
                <w:szCs w:val="22"/>
                <w:lang w:eastAsia="hr-HR"/>
              </w:rPr>
              <w:t>KONTO</w:t>
            </w:r>
          </w:p>
        </w:tc>
        <w:tc>
          <w:tcPr>
            <w:tcW w:w="2680" w:type="dxa"/>
            <w:tcBorders>
              <w:top w:val="single" w:sz="4" w:space="0" w:color="auto"/>
              <w:left w:val="nil"/>
              <w:bottom w:val="single" w:sz="4" w:space="0" w:color="auto"/>
              <w:right w:val="single" w:sz="4" w:space="0" w:color="auto"/>
            </w:tcBorders>
            <w:shd w:val="clear" w:color="000000" w:fill="E7E6E6"/>
            <w:hideMark/>
          </w:tcPr>
          <w:p w:rsidR="00946648" w:rsidRPr="00946648" w:rsidRDefault="00946648" w:rsidP="00946648">
            <w:pPr>
              <w:jc w:val="left"/>
              <w:rPr>
                <w:rFonts w:ascii="Calibri" w:hAnsi="Calibri" w:cs="Calibri"/>
                <w:b/>
                <w:bCs/>
                <w:color w:val="000000"/>
                <w:szCs w:val="22"/>
                <w:lang w:eastAsia="hr-HR"/>
              </w:rPr>
            </w:pPr>
            <w:r w:rsidRPr="00946648">
              <w:rPr>
                <w:rFonts w:ascii="Calibri" w:hAnsi="Calibri" w:cs="Calibri"/>
                <w:b/>
                <w:bCs/>
                <w:color w:val="000000"/>
                <w:szCs w:val="22"/>
                <w:lang w:eastAsia="hr-HR"/>
              </w:rPr>
              <w:t>OPIS</w:t>
            </w:r>
          </w:p>
        </w:tc>
        <w:tc>
          <w:tcPr>
            <w:tcW w:w="520" w:type="dxa"/>
            <w:tcBorders>
              <w:top w:val="single" w:sz="4" w:space="0" w:color="auto"/>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Šifra</w:t>
            </w:r>
          </w:p>
        </w:tc>
        <w:tc>
          <w:tcPr>
            <w:tcW w:w="1420" w:type="dxa"/>
            <w:tcBorders>
              <w:top w:val="single" w:sz="4" w:space="0" w:color="auto"/>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01.01.2023.</w:t>
            </w:r>
          </w:p>
        </w:tc>
        <w:tc>
          <w:tcPr>
            <w:tcW w:w="1440" w:type="dxa"/>
            <w:tcBorders>
              <w:top w:val="single" w:sz="4" w:space="0" w:color="auto"/>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31.12.2023.</w:t>
            </w:r>
          </w:p>
        </w:tc>
        <w:tc>
          <w:tcPr>
            <w:tcW w:w="1240" w:type="dxa"/>
            <w:tcBorders>
              <w:top w:val="single" w:sz="4" w:space="0" w:color="auto"/>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INDEKS</w:t>
            </w:r>
          </w:p>
        </w:tc>
      </w:tr>
      <w:tr w:rsidR="00946648" w:rsidRPr="00946648" w:rsidTr="00946648">
        <w:trPr>
          <w:trHeight w:val="300"/>
        </w:trPr>
        <w:tc>
          <w:tcPr>
            <w:tcW w:w="780" w:type="dxa"/>
            <w:tcBorders>
              <w:top w:val="nil"/>
              <w:left w:val="single" w:sz="4" w:space="0" w:color="auto"/>
              <w:bottom w:val="single" w:sz="4" w:space="0" w:color="auto"/>
              <w:right w:val="single" w:sz="4" w:space="0" w:color="auto"/>
            </w:tcBorders>
            <w:shd w:val="clear" w:color="000000" w:fill="E7E6E6"/>
            <w:hideMark/>
          </w:tcPr>
          <w:p w:rsidR="00946648" w:rsidRPr="00946648" w:rsidRDefault="00946648" w:rsidP="00946648">
            <w:pPr>
              <w:jc w:val="left"/>
              <w:rPr>
                <w:rFonts w:ascii="Calibri" w:hAnsi="Calibri" w:cs="Calibri"/>
                <w:b/>
                <w:bCs/>
                <w:color w:val="000000"/>
                <w:szCs w:val="22"/>
                <w:lang w:eastAsia="hr-HR"/>
              </w:rPr>
            </w:pPr>
            <w:r w:rsidRPr="00946648">
              <w:rPr>
                <w:rFonts w:ascii="Calibri" w:hAnsi="Calibri" w:cs="Calibri"/>
                <w:b/>
                <w:bCs/>
                <w:color w:val="000000"/>
                <w:szCs w:val="22"/>
                <w:lang w:eastAsia="hr-HR"/>
              </w:rPr>
              <w:t>2</w:t>
            </w:r>
          </w:p>
        </w:tc>
        <w:tc>
          <w:tcPr>
            <w:tcW w:w="268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left"/>
              <w:rPr>
                <w:rFonts w:ascii="Calibri" w:hAnsi="Calibri" w:cs="Calibri"/>
                <w:b/>
                <w:bCs/>
                <w:color w:val="000000"/>
                <w:szCs w:val="22"/>
                <w:lang w:eastAsia="hr-HR"/>
              </w:rPr>
            </w:pPr>
            <w:r w:rsidRPr="00946648">
              <w:rPr>
                <w:rFonts w:ascii="Calibri" w:hAnsi="Calibri" w:cs="Calibri"/>
                <w:b/>
                <w:bCs/>
                <w:color w:val="000000"/>
                <w:szCs w:val="22"/>
                <w:lang w:eastAsia="hr-HR"/>
              </w:rPr>
              <w:t>Obveze</w:t>
            </w:r>
          </w:p>
        </w:tc>
        <w:tc>
          <w:tcPr>
            <w:tcW w:w="52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 xml:space="preserve"> </w:t>
            </w:r>
          </w:p>
        </w:tc>
        <w:tc>
          <w:tcPr>
            <w:tcW w:w="142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20.582.865,77</w:t>
            </w:r>
          </w:p>
        </w:tc>
        <w:tc>
          <w:tcPr>
            <w:tcW w:w="144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19.747.239,56</w:t>
            </w:r>
          </w:p>
        </w:tc>
        <w:tc>
          <w:tcPr>
            <w:tcW w:w="124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104,23</w:t>
            </w:r>
          </w:p>
        </w:tc>
      </w:tr>
      <w:tr w:rsidR="00946648" w:rsidRPr="00946648" w:rsidTr="00946648">
        <w:trPr>
          <w:trHeight w:val="600"/>
        </w:trPr>
        <w:tc>
          <w:tcPr>
            <w:tcW w:w="780" w:type="dxa"/>
            <w:tcBorders>
              <w:top w:val="nil"/>
              <w:left w:val="single" w:sz="4" w:space="0" w:color="auto"/>
              <w:bottom w:val="single" w:sz="4" w:space="0" w:color="auto"/>
              <w:right w:val="single" w:sz="4" w:space="0" w:color="auto"/>
            </w:tcBorders>
            <w:shd w:val="clear" w:color="000000" w:fill="E7E6E6"/>
            <w:hideMark/>
          </w:tcPr>
          <w:p w:rsidR="00946648" w:rsidRPr="00946648" w:rsidRDefault="00946648" w:rsidP="00946648">
            <w:pPr>
              <w:jc w:val="left"/>
              <w:rPr>
                <w:rFonts w:ascii="Calibri" w:hAnsi="Calibri" w:cs="Calibri"/>
                <w:b/>
                <w:bCs/>
                <w:color w:val="000000"/>
                <w:szCs w:val="22"/>
                <w:lang w:eastAsia="hr-HR"/>
              </w:rPr>
            </w:pPr>
            <w:r w:rsidRPr="00946648">
              <w:rPr>
                <w:rFonts w:ascii="Calibri" w:hAnsi="Calibri" w:cs="Calibri"/>
                <w:b/>
                <w:bCs/>
                <w:color w:val="000000"/>
                <w:szCs w:val="22"/>
                <w:lang w:eastAsia="hr-HR"/>
              </w:rPr>
              <w:t>23</w:t>
            </w:r>
          </w:p>
        </w:tc>
        <w:tc>
          <w:tcPr>
            <w:tcW w:w="268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left"/>
              <w:rPr>
                <w:rFonts w:ascii="Calibri" w:hAnsi="Calibri" w:cs="Calibri"/>
                <w:b/>
                <w:bCs/>
                <w:color w:val="000000"/>
                <w:szCs w:val="22"/>
                <w:lang w:eastAsia="hr-HR"/>
              </w:rPr>
            </w:pPr>
            <w:r w:rsidRPr="00946648">
              <w:rPr>
                <w:rFonts w:ascii="Calibri" w:hAnsi="Calibri" w:cs="Calibri"/>
                <w:b/>
                <w:bCs/>
                <w:color w:val="000000"/>
                <w:szCs w:val="22"/>
                <w:lang w:eastAsia="hr-HR"/>
              </w:rPr>
              <w:t>Obveze za rashode poslovanja</w:t>
            </w:r>
          </w:p>
        </w:tc>
        <w:tc>
          <w:tcPr>
            <w:tcW w:w="520" w:type="dxa"/>
            <w:tcBorders>
              <w:top w:val="nil"/>
              <w:left w:val="nil"/>
              <w:bottom w:val="single" w:sz="4" w:space="0" w:color="auto"/>
              <w:right w:val="single" w:sz="4" w:space="0" w:color="auto"/>
            </w:tcBorders>
            <w:shd w:val="clear" w:color="000000" w:fill="E7E6E6"/>
            <w:vAlign w:val="center"/>
            <w:hideMark/>
          </w:tcPr>
          <w:p w:rsidR="00946648" w:rsidRPr="00946648" w:rsidRDefault="00946648" w:rsidP="00946648">
            <w:pPr>
              <w:jc w:val="center"/>
              <w:rPr>
                <w:rFonts w:ascii="Calibri" w:hAnsi="Calibri" w:cs="Calibri"/>
                <w:b/>
                <w:bCs/>
                <w:color w:val="000000"/>
                <w:szCs w:val="22"/>
                <w:lang w:eastAsia="hr-HR"/>
              </w:rPr>
            </w:pPr>
            <w:r w:rsidRPr="00946648">
              <w:rPr>
                <w:rFonts w:ascii="Calibri" w:hAnsi="Calibri" w:cs="Calibri"/>
                <w:b/>
                <w:bCs/>
                <w:color w:val="000000"/>
                <w:szCs w:val="22"/>
                <w:lang w:eastAsia="hr-HR"/>
              </w:rPr>
              <w:t>23</w:t>
            </w:r>
          </w:p>
        </w:tc>
        <w:tc>
          <w:tcPr>
            <w:tcW w:w="142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3.044.809,33</w:t>
            </w:r>
          </w:p>
        </w:tc>
        <w:tc>
          <w:tcPr>
            <w:tcW w:w="144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3.419.263,72</w:t>
            </w:r>
          </w:p>
        </w:tc>
        <w:tc>
          <w:tcPr>
            <w:tcW w:w="124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89,05</w:t>
            </w:r>
          </w:p>
        </w:tc>
      </w:tr>
      <w:tr w:rsidR="00946648" w:rsidRPr="00946648" w:rsidTr="00946648">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946648" w:rsidRPr="00946648" w:rsidRDefault="00946648" w:rsidP="00946648">
            <w:pPr>
              <w:jc w:val="left"/>
              <w:rPr>
                <w:rFonts w:ascii="Calibri" w:hAnsi="Calibri" w:cs="Calibri"/>
                <w:b/>
                <w:bCs/>
                <w:color w:val="000000"/>
                <w:szCs w:val="22"/>
                <w:lang w:eastAsia="hr-HR"/>
              </w:rPr>
            </w:pPr>
            <w:r w:rsidRPr="00946648">
              <w:rPr>
                <w:rFonts w:ascii="Calibri" w:hAnsi="Calibri" w:cs="Calibri"/>
                <w:b/>
                <w:bCs/>
                <w:color w:val="000000"/>
                <w:szCs w:val="22"/>
                <w:lang w:eastAsia="hr-HR"/>
              </w:rPr>
              <w:t>231</w:t>
            </w:r>
          </w:p>
        </w:tc>
        <w:tc>
          <w:tcPr>
            <w:tcW w:w="268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left"/>
              <w:rPr>
                <w:rFonts w:ascii="Calibri" w:hAnsi="Calibri" w:cs="Calibri"/>
                <w:color w:val="000000"/>
                <w:szCs w:val="22"/>
                <w:lang w:eastAsia="hr-HR"/>
              </w:rPr>
            </w:pPr>
            <w:r w:rsidRPr="00946648">
              <w:rPr>
                <w:rFonts w:ascii="Calibri" w:hAnsi="Calibri" w:cs="Calibri"/>
                <w:color w:val="000000"/>
                <w:szCs w:val="22"/>
                <w:lang w:eastAsia="hr-HR"/>
              </w:rPr>
              <w:t>Obveze za zaposlene</w:t>
            </w:r>
          </w:p>
        </w:tc>
        <w:tc>
          <w:tcPr>
            <w:tcW w:w="520" w:type="dxa"/>
            <w:tcBorders>
              <w:top w:val="nil"/>
              <w:left w:val="nil"/>
              <w:bottom w:val="single" w:sz="4" w:space="0" w:color="auto"/>
              <w:right w:val="single" w:sz="4" w:space="0" w:color="auto"/>
            </w:tcBorders>
            <w:shd w:val="clear" w:color="auto" w:fill="auto"/>
            <w:vAlign w:val="center"/>
            <w:hideMark/>
          </w:tcPr>
          <w:p w:rsidR="00946648" w:rsidRPr="00946648" w:rsidRDefault="00946648" w:rsidP="00946648">
            <w:pPr>
              <w:jc w:val="center"/>
              <w:rPr>
                <w:rFonts w:ascii="Calibri" w:hAnsi="Calibri" w:cs="Calibri"/>
                <w:color w:val="000000"/>
                <w:szCs w:val="22"/>
                <w:lang w:eastAsia="hr-HR"/>
              </w:rPr>
            </w:pPr>
            <w:r w:rsidRPr="00946648">
              <w:rPr>
                <w:rFonts w:ascii="Calibri" w:hAnsi="Calibri" w:cs="Calibri"/>
                <w:color w:val="000000"/>
                <w:szCs w:val="22"/>
                <w:lang w:eastAsia="hr-HR"/>
              </w:rPr>
              <w:t>231</w:t>
            </w:r>
          </w:p>
        </w:tc>
        <w:tc>
          <w:tcPr>
            <w:tcW w:w="142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right"/>
              <w:rPr>
                <w:rFonts w:ascii="Calibri" w:hAnsi="Calibri" w:cs="Calibri"/>
                <w:color w:val="000000"/>
                <w:szCs w:val="22"/>
                <w:lang w:eastAsia="hr-HR"/>
              </w:rPr>
            </w:pPr>
            <w:r w:rsidRPr="00946648">
              <w:rPr>
                <w:rFonts w:ascii="Calibri" w:hAnsi="Calibri" w:cs="Calibri"/>
                <w:color w:val="000000"/>
                <w:szCs w:val="22"/>
                <w:lang w:eastAsia="hr-HR"/>
              </w:rPr>
              <w:t>578.526,75</w:t>
            </w:r>
          </w:p>
        </w:tc>
        <w:tc>
          <w:tcPr>
            <w:tcW w:w="144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right"/>
              <w:rPr>
                <w:rFonts w:ascii="Calibri" w:hAnsi="Calibri" w:cs="Calibri"/>
                <w:color w:val="000000"/>
                <w:szCs w:val="22"/>
                <w:lang w:eastAsia="hr-HR"/>
              </w:rPr>
            </w:pPr>
            <w:r w:rsidRPr="00946648">
              <w:rPr>
                <w:rFonts w:ascii="Calibri" w:hAnsi="Calibri" w:cs="Calibri"/>
                <w:color w:val="000000"/>
                <w:szCs w:val="22"/>
                <w:lang w:eastAsia="hr-HR"/>
              </w:rPr>
              <w:t>765.274,23</w:t>
            </w:r>
          </w:p>
        </w:tc>
        <w:tc>
          <w:tcPr>
            <w:tcW w:w="124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right"/>
              <w:rPr>
                <w:rFonts w:ascii="Calibri" w:hAnsi="Calibri" w:cs="Calibri"/>
                <w:color w:val="000000"/>
                <w:szCs w:val="22"/>
                <w:lang w:eastAsia="hr-HR"/>
              </w:rPr>
            </w:pPr>
            <w:r w:rsidRPr="00946648">
              <w:rPr>
                <w:rFonts w:ascii="Calibri" w:hAnsi="Calibri" w:cs="Calibri"/>
                <w:color w:val="000000"/>
                <w:szCs w:val="22"/>
                <w:lang w:eastAsia="hr-HR"/>
              </w:rPr>
              <w:t>75,60</w:t>
            </w:r>
          </w:p>
        </w:tc>
      </w:tr>
      <w:tr w:rsidR="00946648" w:rsidRPr="00946648" w:rsidTr="00946648">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946648" w:rsidRPr="00946648" w:rsidRDefault="00946648" w:rsidP="00946648">
            <w:pPr>
              <w:jc w:val="left"/>
              <w:rPr>
                <w:rFonts w:ascii="Calibri" w:hAnsi="Calibri" w:cs="Calibri"/>
                <w:b/>
                <w:bCs/>
                <w:color w:val="000000"/>
                <w:szCs w:val="22"/>
                <w:lang w:eastAsia="hr-HR"/>
              </w:rPr>
            </w:pPr>
            <w:r w:rsidRPr="00946648">
              <w:rPr>
                <w:rFonts w:ascii="Calibri" w:hAnsi="Calibri" w:cs="Calibri"/>
                <w:b/>
                <w:bCs/>
                <w:color w:val="000000"/>
                <w:szCs w:val="22"/>
                <w:lang w:eastAsia="hr-HR"/>
              </w:rPr>
              <w:t>232</w:t>
            </w:r>
          </w:p>
        </w:tc>
        <w:tc>
          <w:tcPr>
            <w:tcW w:w="268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left"/>
              <w:rPr>
                <w:rFonts w:ascii="Calibri" w:hAnsi="Calibri" w:cs="Calibri"/>
                <w:color w:val="000000"/>
                <w:szCs w:val="22"/>
                <w:lang w:eastAsia="hr-HR"/>
              </w:rPr>
            </w:pPr>
            <w:r w:rsidRPr="00946648">
              <w:rPr>
                <w:rFonts w:ascii="Calibri" w:hAnsi="Calibri" w:cs="Calibri"/>
                <w:color w:val="000000"/>
                <w:szCs w:val="22"/>
                <w:lang w:eastAsia="hr-HR"/>
              </w:rPr>
              <w:t>Obveze za materijalne rashode</w:t>
            </w:r>
          </w:p>
        </w:tc>
        <w:tc>
          <w:tcPr>
            <w:tcW w:w="520" w:type="dxa"/>
            <w:tcBorders>
              <w:top w:val="nil"/>
              <w:left w:val="nil"/>
              <w:bottom w:val="single" w:sz="4" w:space="0" w:color="auto"/>
              <w:right w:val="single" w:sz="4" w:space="0" w:color="auto"/>
            </w:tcBorders>
            <w:shd w:val="clear" w:color="auto" w:fill="auto"/>
            <w:vAlign w:val="center"/>
            <w:hideMark/>
          </w:tcPr>
          <w:p w:rsidR="00946648" w:rsidRPr="00946648" w:rsidRDefault="00946648" w:rsidP="00946648">
            <w:pPr>
              <w:jc w:val="center"/>
              <w:rPr>
                <w:rFonts w:ascii="Calibri" w:hAnsi="Calibri" w:cs="Calibri"/>
                <w:color w:val="000000"/>
                <w:szCs w:val="22"/>
                <w:lang w:eastAsia="hr-HR"/>
              </w:rPr>
            </w:pPr>
            <w:r w:rsidRPr="00946648">
              <w:rPr>
                <w:rFonts w:ascii="Calibri" w:hAnsi="Calibri" w:cs="Calibri"/>
                <w:color w:val="000000"/>
                <w:szCs w:val="22"/>
                <w:lang w:eastAsia="hr-HR"/>
              </w:rPr>
              <w:t>232</w:t>
            </w:r>
          </w:p>
        </w:tc>
        <w:tc>
          <w:tcPr>
            <w:tcW w:w="142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right"/>
              <w:rPr>
                <w:rFonts w:ascii="Calibri" w:hAnsi="Calibri" w:cs="Calibri"/>
                <w:color w:val="000000"/>
                <w:szCs w:val="22"/>
                <w:lang w:eastAsia="hr-HR"/>
              </w:rPr>
            </w:pPr>
            <w:r w:rsidRPr="00946648">
              <w:rPr>
                <w:rFonts w:ascii="Calibri" w:hAnsi="Calibri" w:cs="Calibri"/>
                <w:color w:val="000000"/>
                <w:szCs w:val="22"/>
                <w:lang w:eastAsia="hr-HR"/>
              </w:rPr>
              <w:t>692.026,21</w:t>
            </w:r>
          </w:p>
        </w:tc>
        <w:tc>
          <w:tcPr>
            <w:tcW w:w="144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right"/>
              <w:rPr>
                <w:rFonts w:ascii="Calibri" w:hAnsi="Calibri" w:cs="Calibri"/>
                <w:color w:val="000000"/>
                <w:szCs w:val="22"/>
                <w:lang w:eastAsia="hr-HR"/>
              </w:rPr>
            </w:pPr>
            <w:r w:rsidRPr="00946648">
              <w:rPr>
                <w:rFonts w:ascii="Calibri" w:hAnsi="Calibri" w:cs="Calibri"/>
                <w:color w:val="000000"/>
                <w:szCs w:val="22"/>
                <w:lang w:eastAsia="hr-HR"/>
              </w:rPr>
              <w:t>666.994,63</w:t>
            </w:r>
          </w:p>
        </w:tc>
        <w:tc>
          <w:tcPr>
            <w:tcW w:w="124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right"/>
              <w:rPr>
                <w:rFonts w:ascii="Calibri" w:hAnsi="Calibri" w:cs="Calibri"/>
                <w:color w:val="000000"/>
                <w:szCs w:val="22"/>
                <w:lang w:eastAsia="hr-HR"/>
              </w:rPr>
            </w:pPr>
            <w:r w:rsidRPr="00946648">
              <w:rPr>
                <w:rFonts w:ascii="Calibri" w:hAnsi="Calibri" w:cs="Calibri"/>
                <w:color w:val="000000"/>
                <w:szCs w:val="22"/>
                <w:lang w:eastAsia="hr-HR"/>
              </w:rPr>
              <w:t>103,75</w:t>
            </w:r>
          </w:p>
        </w:tc>
      </w:tr>
      <w:tr w:rsidR="00946648" w:rsidRPr="00946648" w:rsidTr="00946648">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946648" w:rsidRPr="00946648" w:rsidRDefault="00946648" w:rsidP="00946648">
            <w:pPr>
              <w:jc w:val="left"/>
              <w:rPr>
                <w:rFonts w:ascii="Calibri" w:hAnsi="Calibri" w:cs="Calibri"/>
                <w:b/>
                <w:bCs/>
                <w:color w:val="000000"/>
                <w:szCs w:val="22"/>
                <w:lang w:eastAsia="hr-HR"/>
              </w:rPr>
            </w:pPr>
            <w:r w:rsidRPr="00946648">
              <w:rPr>
                <w:rFonts w:ascii="Calibri" w:hAnsi="Calibri" w:cs="Calibri"/>
                <w:b/>
                <w:bCs/>
                <w:color w:val="000000"/>
                <w:szCs w:val="22"/>
                <w:lang w:eastAsia="hr-HR"/>
              </w:rPr>
              <w:t>234</w:t>
            </w:r>
          </w:p>
        </w:tc>
        <w:tc>
          <w:tcPr>
            <w:tcW w:w="268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left"/>
              <w:rPr>
                <w:rFonts w:ascii="Calibri" w:hAnsi="Calibri" w:cs="Calibri"/>
                <w:color w:val="000000"/>
                <w:szCs w:val="22"/>
                <w:lang w:eastAsia="hr-HR"/>
              </w:rPr>
            </w:pPr>
            <w:r w:rsidRPr="00946648">
              <w:rPr>
                <w:rFonts w:ascii="Calibri" w:hAnsi="Calibri" w:cs="Calibri"/>
                <w:color w:val="000000"/>
                <w:szCs w:val="22"/>
                <w:lang w:eastAsia="hr-HR"/>
              </w:rPr>
              <w:t>Obveze za financijske rashode</w:t>
            </w:r>
          </w:p>
        </w:tc>
        <w:tc>
          <w:tcPr>
            <w:tcW w:w="520" w:type="dxa"/>
            <w:tcBorders>
              <w:top w:val="nil"/>
              <w:left w:val="nil"/>
              <w:bottom w:val="single" w:sz="4" w:space="0" w:color="auto"/>
              <w:right w:val="single" w:sz="4" w:space="0" w:color="auto"/>
            </w:tcBorders>
            <w:shd w:val="clear" w:color="auto" w:fill="auto"/>
            <w:vAlign w:val="center"/>
            <w:hideMark/>
          </w:tcPr>
          <w:p w:rsidR="00946648" w:rsidRPr="00946648" w:rsidRDefault="00946648" w:rsidP="00946648">
            <w:pPr>
              <w:jc w:val="center"/>
              <w:rPr>
                <w:rFonts w:ascii="Calibri" w:hAnsi="Calibri" w:cs="Calibri"/>
                <w:color w:val="000000"/>
                <w:szCs w:val="22"/>
                <w:lang w:eastAsia="hr-HR"/>
              </w:rPr>
            </w:pPr>
            <w:r w:rsidRPr="00946648">
              <w:rPr>
                <w:rFonts w:ascii="Calibri" w:hAnsi="Calibri" w:cs="Calibri"/>
                <w:color w:val="000000"/>
                <w:szCs w:val="22"/>
                <w:lang w:eastAsia="hr-HR"/>
              </w:rPr>
              <w:t>234</w:t>
            </w:r>
          </w:p>
        </w:tc>
        <w:tc>
          <w:tcPr>
            <w:tcW w:w="142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right"/>
              <w:rPr>
                <w:rFonts w:ascii="Calibri" w:hAnsi="Calibri" w:cs="Calibri"/>
                <w:color w:val="000000"/>
                <w:szCs w:val="22"/>
                <w:lang w:eastAsia="hr-HR"/>
              </w:rPr>
            </w:pPr>
            <w:r w:rsidRPr="00946648">
              <w:rPr>
                <w:rFonts w:ascii="Calibri" w:hAnsi="Calibri" w:cs="Calibri"/>
                <w:color w:val="000000"/>
                <w:szCs w:val="22"/>
                <w:lang w:eastAsia="hr-HR"/>
              </w:rPr>
              <w:t>517.572,00</w:t>
            </w:r>
          </w:p>
        </w:tc>
        <w:tc>
          <w:tcPr>
            <w:tcW w:w="144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right"/>
              <w:rPr>
                <w:rFonts w:ascii="Calibri" w:hAnsi="Calibri" w:cs="Calibri"/>
                <w:color w:val="000000"/>
                <w:szCs w:val="22"/>
                <w:lang w:eastAsia="hr-HR"/>
              </w:rPr>
            </w:pPr>
            <w:r w:rsidRPr="00946648">
              <w:rPr>
                <w:rFonts w:ascii="Calibri" w:hAnsi="Calibri" w:cs="Calibri"/>
                <w:color w:val="000000"/>
                <w:szCs w:val="22"/>
                <w:lang w:eastAsia="hr-HR"/>
              </w:rPr>
              <w:t>478.997,96</w:t>
            </w:r>
          </w:p>
        </w:tc>
        <w:tc>
          <w:tcPr>
            <w:tcW w:w="124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right"/>
              <w:rPr>
                <w:rFonts w:ascii="Calibri" w:hAnsi="Calibri" w:cs="Calibri"/>
                <w:color w:val="000000"/>
                <w:szCs w:val="22"/>
                <w:lang w:eastAsia="hr-HR"/>
              </w:rPr>
            </w:pPr>
            <w:r w:rsidRPr="00946648">
              <w:rPr>
                <w:rFonts w:ascii="Calibri" w:hAnsi="Calibri" w:cs="Calibri"/>
                <w:color w:val="000000"/>
                <w:szCs w:val="22"/>
                <w:lang w:eastAsia="hr-HR"/>
              </w:rPr>
              <w:t>108,05</w:t>
            </w:r>
          </w:p>
        </w:tc>
      </w:tr>
      <w:tr w:rsidR="00946648" w:rsidRPr="00946648" w:rsidTr="00946648">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946648" w:rsidRPr="00946648" w:rsidRDefault="00946648" w:rsidP="00946648">
            <w:pPr>
              <w:jc w:val="left"/>
              <w:rPr>
                <w:rFonts w:ascii="Calibri" w:hAnsi="Calibri" w:cs="Calibri"/>
                <w:b/>
                <w:bCs/>
                <w:color w:val="000000"/>
                <w:szCs w:val="22"/>
                <w:lang w:eastAsia="hr-HR"/>
              </w:rPr>
            </w:pPr>
            <w:r w:rsidRPr="00946648">
              <w:rPr>
                <w:rFonts w:ascii="Calibri" w:hAnsi="Calibri" w:cs="Calibri"/>
                <w:b/>
                <w:bCs/>
                <w:color w:val="000000"/>
                <w:szCs w:val="22"/>
                <w:lang w:eastAsia="hr-HR"/>
              </w:rPr>
              <w:t>235</w:t>
            </w:r>
          </w:p>
        </w:tc>
        <w:tc>
          <w:tcPr>
            <w:tcW w:w="268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left"/>
              <w:rPr>
                <w:rFonts w:ascii="Calibri" w:hAnsi="Calibri" w:cs="Calibri"/>
                <w:color w:val="000000"/>
                <w:szCs w:val="22"/>
                <w:lang w:eastAsia="hr-HR"/>
              </w:rPr>
            </w:pPr>
            <w:r w:rsidRPr="00946648">
              <w:rPr>
                <w:rFonts w:ascii="Calibri" w:hAnsi="Calibri" w:cs="Calibri"/>
                <w:color w:val="000000"/>
                <w:szCs w:val="22"/>
                <w:lang w:eastAsia="hr-HR"/>
              </w:rPr>
              <w:t>Obveze za subvencije</w:t>
            </w:r>
          </w:p>
        </w:tc>
        <w:tc>
          <w:tcPr>
            <w:tcW w:w="520" w:type="dxa"/>
            <w:tcBorders>
              <w:top w:val="nil"/>
              <w:left w:val="nil"/>
              <w:bottom w:val="single" w:sz="4" w:space="0" w:color="auto"/>
              <w:right w:val="single" w:sz="4" w:space="0" w:color="auto"/>
            </w:tcBorders>
            <w:shd w:val="clear" w:color="auto" w:fill="auto"/>
            <w:vAlign w:val="center"/>
            <w:hideMark/>
          </w:tcPr>
          <w:p w:rsidR="00946648" w:rsidRPr="00946648" w:rsidRDefault="00946648" w:rsidP="00946648">
            <w:pPr>
              <w:jc w:val="center"/>
              <w:rPr>
                <w:rFonts w:ascii="Calibri" w:hAnsi="Calibri" w:cs="Calibri"/>
                <w:color w:val="000000"/>
                <w:szCs w:val="22"/>
                <w:lang w:eastAsia="hr-HR"/>
              </w:rPr>
            </w:pPr>
            <w:r w:rsidRPr="00946648">
              <w:rPr>
                <w:rFonts w:ascii="Calibri" w:hAnsi="Calibri" w:cs="Calibri"/>
                <w:color w:val="000000"/>
                <w:szCs w:val="22"/>
                <w:lang w:eastAsia="hr-HR"/>
              </w:rPr>
              <w:t>235</w:t>
            </w:r>
          </w:p>
        </w:tc>
        <w:tc>
          <w:tcPr>
            <w:tcW w:w="142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right"/>
              <w:rPr>
                <w:rFonts w:ascii="Calibri" w:hAnsi="Calibri" w:cs="Calibri"/>
                <w:color w:val="000000"/>
                <w:szCs w:val="22"/>
                <w:lang w:eastAsia="hr-HR"/>
              </w:rPr>
            </w:pPr>
            <w:r w:rsidRPr="00946648">
              <w:rPr>
                <w:rFonts w:ascii="Calibri" w:hAnsi="Calibri" w:cs="Calibri"/>
                <w:color w:val="000000"/>
                <w:szCs w:val="22"/>
                <w:lang w:eastAsia="hr-HR"/>
              </w:rPr>
              <w:t>7.611,50</w:t>
            </w:r>
          </w:p>
        </w:tc>
        <w:tc>
          <w:tcPr>
            <w:tcW w:w="144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right"/>
              <w:rPr>
                <w:rFonts w:ascii="Calibri" w:hAnsi="Calibri" w:cs="Calibri"/>
                <w:color w:val="000000"/>
                <w:szCs w:val="22"/>
                <w:lang w:eastAsia="hr-HR"/>
              </w:rPr>
            </w:pPr>
            <w:r w:rsidRPr="00946648">
              <w:rPr>
                <w:rFonts w:ascii="Calibri" w:hAnsi="Calibri" w:cs="Calibri"/>
                <w:color w:val="000000"/>
                <w:szCs w:val="22"/>
                <w:lang w:eastAsia="hr-HR"/>
              </w:rPr>
              <w:t>115.817,04</w:t>
            </w:r>
          </w:p>
        </w:tc>
        <w:tc>
          <w:tcPr>
            <w:tcW w:w="124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right"/>
              <w:rPr>
                <w:rFonts w:ascii="Calibri" w:hAnsi="Calibri" w:cs="Calibri"/>
                <w:color w:val="000000"/>
                <w:szCs w:val="22"/>
                <w:lang w:eastAsia="hr-HR"/>
              </w:rPr>
            </w:pPr>
            <w:r w:rsidRPr="00946648">
              <w:rPr>
                <w:rFonts w:ascii="Calibri" w:hAnsi="Calibri" w:cs="Calibri"/>
                <w:color w:val="000000"/>
                <w:szCs w:val="22"/>
                <w:lang w:eastAsia="hr-HR"/>
              </w:rPr>
              <w:t>6,57</w:t>
            </w:r>
          </w:p>
        </w:tc>
      </w:tr>
      <w:tr w:rsidR="00946648" w:rsidRPr="00946648" w:rsidTr="00946648">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946648" w:rsidRPr="00946648" w:rsidRDefault="00946648" w:rsidP="00946648">
            <w:pPr>
              <w:jc w:val="left"/>
              <w:rPr>
                <w:rFonts w:ascii="Calibri" w:hAnsi="Calibri" w:cs="Calibri"/>
                <w:b/>
                <w:bCs/>
                <w:color w:val="000000"/>
                <w:szCs w:val="22"/>
                <w:lang w:eastAsia="hr-HR"/>
              </w:rPr>
            </w:pPr>
            <w:r w:rsidRPr="00946648">
              <w:rPr>
                <w:rFonts w:ascii="Calibri" w:hAnsi="Calibri" w:cs="Calibri"/>
                <w:b/>
                <w:bCs/>
                <w:color w:val="000000"/>
                <w:szCs w:val="22"/>
                <w:lang w:eastAsia="hr-HR"/>
              </w:rPr>
              <w:t>237</w:t>
            </w:r>
          </w:p>
        </w:tc>
        <w:tc>
          <w:tcPr>
            <w:tcW w:w="268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left"/>
              <w:rPr>
                <w:rFonts w:ascii="Calibri" w:hAnsi="Calibri" w:cs="Calibri"/>
                <w:color w:val="000000"/>
                <w:szCs w:val="22"/>
                <w:lang w:eastAsia="hr-HR"/>
              </w:rPr>
            </w:pPr>
            <w:r w:rsidRPr="00946648">
              <w:rPr>
                <w:rFonts w:ascii="Calibri" w:hAnsi="Calibri" w:cs="Calibri"/>
                <w:color w:val="000000"/>
                <w:szCs w:val="22"/>
                <w:lang w:eastAsia="hr-HR"/>
              </w:rPr>
              <w:t>Obveze za naknade građanima i kućanstvima</w:t>
            </w:r>
          </w:p>
        </w:tc>
        <w:tc>
          <w:tcPr>
            <w:tcW w:w="520" w:type="dxa"/>
            <w:tcBorders>
              <w:top w:val="nil"/>
              <w:left w:val="nil"/>
              <w:bottom w:val="single" w:sz="4" w:space="0" w:color="auto"/>
              <w:right w:val="single" w:sz="4" w:space="0" w:color="auto"/>
            </w:tcBorders>
            <w:shd w:val="clear" w:color="auto" w:fill="auto"/>
            <w:vAlign w:val="center"/>
            <w:hideMark/>
          </w:tcPr>
          <w:p w:rsidR="00946648" w:rsidRPr="00946648" w:rsidRDefault="00946648" w:rsidP="00946648">
            <w:pPr>
              <w:jc w:val="center"/>
              <w:rPr>
                <w:rFonts w:ascii="Calibri" w:hAnsi="Calibri" w:cs="Calibri"/>
                <w:color w:val="000000"/>
                <w:szCs w:val="22"/>
                <w:lang w:eastAsia="hr-HR"/>
              </w:rPr>
            </w:pPr>
            <w:r w:rsidRPr="00946648">
              <w:rPr>
                <w:rFonts w:ascii="Calibri" w:hAnsi="Calibri" w:cs="Calibri"/>
                <w:color w:val="000000"/>
                <w:szCs w:val="22"/>
                <w:lang w:eastAsia="hr-HR"/>
              </w:rPr>
              <w:t>237</w:t>
            </w:r>
          </w:p>
        </w:tc>
        <w:tc>
          <w:tcPr>
            <w:tcW w:w="142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right"/>
              <w:rPr>
                <w:rFonts w:ascii="Calibri" w:hAnsi="Calibri" w:cs="Calibri"/>
                <w:color w:val="000000"/>
                <w:szCs w:val="22"/>
                <w:lang w:eastAsia="hr-HR"/>
              </w:rPr>
            </w:pPr>
            <w:r w:rsidRPr="00946648">
              <w:rPr>
                <w:rFonts w:ascii="Calibri" w:hAnsi="Calibri" w:cs="Calibri"/>
                <w:color w:val="000000"/>
                <w:szCs w:val="22"/>
                <w:lang w:eastAsia="hr-HR"/>
              </w:rPr>
              <w:t>44.359,06</w:t>
            </w:r>
          </w:p>
        </w:tc>
        <w:tc>
          <w:tcPr>
            <w:tcW w:w="144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right"/>
              <w:rPr>
                <w:rFonts w:ascii="Calibri" w:hAnsi="Calibri" w:cs="Calibri"/>
                <w:color w:val="000000"/>
                <w:szCs w:val="22"/>
                <w:lang w:eastAsia="hr-HR"/>
              </w:rPr>
            </w:pPr>
            <w:r w:rsidRPr="00946648">
              <w:rPr>
                <w:rFonts w:ascii="Calibri" w:hAnsi="Calibri" w:cs="Calibri"/>
                <w:color w:val="000000"/>
                <w:szCs w:val="22"/>
                <w:lang w:eastAsia="hr-HR"/>
              </w:rPr>
              <w:t>54.268,63</w:t>
            </w:r>
          </w:p>
        </w:tc>
        <w:tc>
          <w:tcPr>
            <w:tcW w:w="124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right"/>
              <w:rPr>
                <w:rFonts w:ascii="Calibri" w:hAnsi="Calibri" w:cs="Calibri"/>
                <w:color w:val="000000"/>
                <w:szCs w:val="22"/>
                <w:lang w:eastAsia="hr-HR"/>
              </w:rPr>
            </w:pPr>
            <w:r w:rsidRPr="00946648">
              <w:rPr>
                <w:rFonts w:ascii="Calibri" w:hAnsi="Calibri" w:cs="Calibri"/>
                <w:color w:val="000000"/>
                <w:szCs w:val="22"/>
                <w:lang w:eastAsia="hr-HR"/>
              </w:rPr>
              <w:t>81,74</w:t>
            </w:r>
          </w:p>
        </w:tc>
      </w:tr>
      <w:tr w:rsidR="00946648" w:rsidRPr="00946648" w:rsidTr="00946648">
        <w:trPr>
          <w:trHeight w:val="300"/>
        </w:trPr>
        <w:tc>
          <w:tcPr>
            <w:tcW w:w="780" w:type="dxa"/>
            <w:tcBorders>
              <w:top w:val="nil"/>
              <w:left w:val="single" w:sz="4" w:space="0" w:color="auto"/>
              <w:bottom w:val="single" w:sz="4" w:space="0" w:color="auto"/>
              <w:right w:val="single" w:sz="4" w:space="0" w:color="auto"/>
            </w:tcBorders>
            <w:shd w:val="clear" w:color="auto" w:fill="auto"/>
            <w:hideMark/>
          </w:tcPr>
          <w:p w:rsidR="00946648" w:rsidRPr="00946648" w:rsidRDefault="00946648" w:rsidP="00946648">
            <w:pPr>
              <w:jc w:val="left"/>
              <w:rPr>
                <w:rFonts w:ascii="Calibri" w:hAnsi="Calibri" w:cs="Calibri"/>
                <w:b/>
                <w:bCs/>
                <w:color w:val="000000"/>
                <w:szCs w:val="22"/>
                <w:lang w:eastAsia="hr-HR"/>
              </w:rPr>
            </w:pPr>
            <w:r w:rsidRPr="00946648">
              <w:rPr>
                <w:rFonts w:ascii="Calibri" w:hAnsi="Calibri" w:cs="Calibri"/>
                <w:b/>
                <w:bCs/>
                <w:color w:val="000000"/>
                <w:szCs w:val="22"/>
                <w:lang w:eastAsia="hr-HR"/>
              </w:rPr>
              <w:t>239</w:t>
            </w:r>
          </w:p>
        </w:tc>
        <w:tc>
          <w:tcPr>
            <w:tcW w:w="268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left"/>
              <w:rPr>
                <w:rFonts w:ascii="Calibri" w:hAnsi="Calibri" w:cs="Calibri"/>
                <w:color w:val="000000"/>
                <w:szCs w:val="22"/>
                <w:lang w:eastAsia="hr-HR"/>
              </w:rPr>
            </w:pPr>
            <w:r w:rsidRPr="00946648">
              <w:rPr>
                <w:rFonts w:ascii="Calibri" w:hAnsi="Calibri" w:cs="Calibri"/>
                <w:color w:val="000000"/>
                <w:szCs w:val="22"/>
                <w:lang w:eastAsia="hr-HR"/>
              </w:rPr>
              <w:t>Ostale tekuće obveze</w:t>
            </w:r>
          </w:p>
        </w:tc>
        <w:tc>
          <w:tcPr>
            <w:tcW w:w="520" w:type="dxa"/>
            <w:tcBorders>
              <w:top w:val="nil"/>
              <w:left w:val="nil"/>
              <w:bottom w:val="single" w:sz="4" w:space="0" w:color="auto"/>
              <w:right w:val="single" w:sz="4" w:space="0" w:color="auto"/>
            </w:tcBorders>
            <w:shd w:val="clear" w:color="auto" w:fill="auto"/>
            <w:vAlign w:val="center"/>
            <w:hideMark/>
          </w:tcPr>
          <w:p w:rsidR="00946648" w:rsidRPr="00946648" w:rsidRDefault="00946648" w:rsidP="00946648">
            <w:pPr>
              <w:jc w:val="center"/>
              <w:rPr>
                <w:rFonts w:ascii="Calibri" w:hAnsi="Calibri" w:cs="Calibri"/>
                <w:color w:val="000000"/>
                <w:szCs w:val="22"/>
                <w:lang w:eastAsia="hr-HR"/>
              </w:rPr>
            </w:pPr>
            <w:r w:rsidRPr="00946648">
              <w:rPr>
                <w:rFonts w:ascii="Calibri" w:hAnsi="Calibri" w:cs="Calibri"/>
                <w:color w:val="000000"/>
                <w:szCs w:val="22"/>
                <w:lang w:eastAsia="hr-HR"/>
              </w:rPr>
              <w:t>239</w:t>
            </w:r>
          </w:p>
        </w:tc>
        <w:tc>
          <w:tcPr>
            <w:tcW w:w="142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right"/>
              <w:rPr>
                <w:rFonts w:ascii="Calibri" w:hAnsi="Calibri" w:cs="Calibri"/>
                <w:color w:val="000000"/>
                <w:szCs w:val="22"/>
                <w:lang w:eastAsia="hr-HR"/>
              </w:rPr>
            </w:pPr>
            <w:r w:rsidRPr="00946648">
              <w:rPr>
                <w:rFonts w:ascii="Calibri" w:hAnsi="Calibri" w:cs="Calibri"/>
                <w:color w:val="000000"/>
                <w:szCs w:val="22"/>
                <w:lang w:eastAsia="hr-HR"/>
              </w:rPr>
              <w:t>1.204.713,81</w:t>
            </w:r>
          </w:p>
        </w:tc>
        <w:tc>
          <w:tcPr>
            <w:tcW w:w="144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right"/>
              <w:rPr>
                <w:rFonts w:ascii="Calibri" w:hAnsi="Calibri" w:cs="Calibri"/>
                <w:color w:val="000000"/>
                <w:szCs w:val="22"/>
                <w:lang w:eastAsia="hr-HR"/>
              </w:rPr>
            </w:pPr>
            <w:r w:rsidRPr="00946648">
              <w:rPr>
                <w:rFonts w:ascii="Calibri" w:hAnsi="Calibri" w:cs="Calibri"/>
                <w:color w:val="000000"/>
                <w:szCs w:val="22"/>
                <w:lang w:eastAsia="hr-HR"/>
              </w:rPr>
              <w:t>1.337.911,23</w:t>
            </w:r>
          </w:p>
        </w:tc>
        <w:tc>
          <w:tcPr>
            <w:tcW w:w="1240" w:type="dxa"/>
            <w:tcBorders>
              <w:top w:val="nil"/>
              <w:left w:val="nil"/>
              <w:bottom w:val="single" w:sz="4" w:space="0" w:color="auto"/>
              <w:right w:val="single" w:sz="4" w:space="0" w:color="auto"/>
            </w:tcBorders>
            <w:shd w:val="clear" w:color="auto" w:fill="auto"/>
            <w:hideMark/>
          </w:tcPr>
          <w:p w:rsidR="00946648" w:rsidRPr="00946648" w:rsidRDefault="00946648" w:rsidP="00946648">
            <w:pPr>
              <w:jc w:val="right"/>
              <w:rPr>
                <w:rFonts w:ascii="Calibri" w:hAnsi="Calibri" w:cs="Calibri"/>
                <w:color w:val="000000"/>
                <w:szCs w:val="22"/>
                <w:lang w:eastAsia="hr-HR"/>
              </w:rPr>
            </w:pPr>
            <w:r w:rsidRPr="00946648">
              <w:rPr>
                <w:rFonts w:ascii="Calibri" w:hAnsi="Calibri" w:cs="Calibri"/>
                <w:color w:val="000000"/>
                <w:szCs w:val="22"/>
                <w:lang w:eastAsia="hr-HR"/>
              </w:rPr>
              <w:t>90,04</w:t>
            </w:r>
          </w:p>
        </w:tc>
      </w:tr>
      <w:tr w:rsidR="00946648" w:rsidRPr="00946648" w:rsidTr="00946648">
        <w:trPr>
          <w:trHeight w:val="600"/>
        </w:trPr>
        <w:tc>
          <w:tcPr>
            <w:tcW w:w="780" w:type="dxa"/>
            <w:tcBorders>
              <w:top w:val="nil"/>
              <w:left w:val="single" w:sz="4" w:space="0" w:color="auto"/>
              <w:bottom w:val="single" w:sz="4" w:space="0" w:color="auto"/>
              <w:right w:val="single" w:sz="4" w:space="0" w:color="auto"/>
            </w:tcBorders>
            <w:shd w:val="clear" w:color="000000" w:fill="E7E6E6"/>
            <w:hideMark/>
          </w:tcPr>
          <w:p w:rsidR="00946648" w:rsidRPr="00946648" w:rsidRDefault="00946648" w:rsidP="00946648">
            <w:pPr>
              <w:jc w:val="left"/>
              <w:rPr>
                <w:rFonts w:ascii="Calibri" w:hAnsi="Calibri" w:cs="Calibri"/>
                <w:b/>
                <w:bCs/>
                <w:color w:val="000000"/>
                <w:szCs w:val="22"/>
                <w:lang w:eastAsia="hr-HR"/>
              </w:rPr>
            </w:pPr>
            <w:r w:rsidRPr="00946648">
              <w:rPr>
                <w:rFonts w:ascii="Calibri" w:hAnsi="Calibri" w:cs="Calibri"/>
                <w:b/>
                <w:bCs/>
                <w:color w:val="000000"/>
                <w:szCs w:val="22"/>
                <w:lang w:eastAsia="hr-HR"/>
              </w:rPr>
              <w:t>24</w:t>
            </w:r>
          </w:p>
        </w:tc>
        <w:tc>
          <w:tcPr>
            <w:tcW w:w="268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left"/>
              <w:rPr>
                <w:rFonts w:ascii="Calibri" w:hAnsi="Calibri" w:cs="Calibri"/>
                <w:b/>
                <w:bCs/>
                <w:color w:val="000000"/>
                <w:szCs w:val="22"/>
                <w:lang w:eastAsia="hr-HR"/>
              </w:rPr>
            </w:pPr>
            <w:r w:rsidRPr="00946648">
              <w:rPr>
                <w:rFonts w:ascii="Calibri" w:hAnsi="Calibri" w:cs="Calibri"/>
                <w:b/>
                <w:bCs/>
                <w:color w:val="000000"/>
                <w:szCs w:val="22"/>
                <w:lang w:eastAsia="hr-HR"/>
              </w:rPr>
              <w:t>Obveze za nabavu nefinancijske imovine</w:t>
            </w:r>
          </w:p>
        </w:tc>
        <w:tc>
          <w:tcPr>
            <w:tcW w:w="520" w:type="dxa"/>
            <w:tcBorders>
              <w:top w:val="nil"/>
              <w:left w:val="nil"/>
              <w:bottom w:val="single" w:sz="4" w:space="0" w:color="auto"/>
              <w:right w:val="single" w:sz="4" w:space="0" w:color="auto"/>
            </w:tcBorders>
            <w:shd w:val="clear" w:color="000000" w:fill="E7E6E6"/>
            <w:vAlign w:val="center"/>
            <w:hideMark/>
          </w:tcPr>
          <w:p w:rsidR="00946648" w:rsidRPr="00946648" w:rsidRDefault="00946648" w:rsidP="00946648">
            <w:pPr>
              <w:jc w:val="center"/>
              <w:rPr>
                <w:rFonts w:ascii="Calibri" w:hAnsi="Calibri" w:cs="Calibri"/>
                <w:b/>
                <w:bCs/>
                <w:color w:val="000000"/>
                <w:szCs w:val="22"/>
                <w:lang w:eastAsia="hr-HR"/>
              </w:rPr>
            </w:pPr>
            <w:r w:rsidRPr="00946648">
              <w:rPr>
                <w:rFonts w:ascii="Calibri" w:hAnsi="Calibri" w:cs="Calibri"/>
                <w:b/>
                <w:bCs/>
                <w:color w:val="000000"/>
                <w:szCs w:val="22"/>
                <w:lang w:eastAsia="hr-HR"/>
              </w:rPr>
              <w:t>24</w:t>
            </w:r>
          </w:p>
        </w:tc>
        <w:tc>
          <w:tcPr>
            <w:tcW w:w="142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443.563,45</w:t>
            </w:r>
          </w:p>
        </w:tc>
        <w:tc>
          <w:tcPr>
            <w:tcW w:w="144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533.501,51</w:t>
            </w:r>
          </w:p>
        </w:tc>
        <w:tc>
          <w:tcPr>
            <w:tcW w:w="124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83,14</w:t>
            </w:r>
          </w:p>
        </w:tc>
      </w:tr>
      <w:tr w:rsidR="00946648" w:rsidRPr="00946648" w:rsidTr="00946648">
        <w:trPr>
          <w:trHeight w:val="600"/>
        </w:trPr>
        <w:tc>
          <w:tcPr>
            <w:tcW w:w="780" w:type="dxa"/>
            <w:tcBorders>
              <w:top w:val="nil"/>
              <w:left w:val="single" w:sz="4" w:space="0" w:color="auto"/>
              <w:bottom w:val="single" w:sz="4" w:space="0" w:color="auto"/>
              <w:right w:val="single" w:sz="4" w:space="0" w:color="auto"/>
            </w:tcBorders>
            <w:shd w:val="clear" w:color="000000" w:fill="E7E6E6"/>
            <w:hideMark/>
          </w:tcPr>
          <w:p w:rsidR="00946648" w:rsidRPr="00946648" w:rsidRDefault="00946648" w:rsidP="00946648">
            <w:pPr>
              <w:jc w:val="left"/>
              <w:rPr>
                <w:rFonts w:ascii="Calibri" w:hAnsi="Calibri" w:cs="Calibri"/>
                <w:b/>
                <w:bCs/>
                <w:color w:val="000000"/>
                <w:szCs w:val="22"/>
                <w:lang w:eastAsia="hr-HR"/>
              </w:rPr>
            </w:pPr>
            <w:r w:rsidRPr="00946648">
              <w:rPr>
                <w:rFonts w:ascii="Calibri" w:hAnsi="Calibri" w:cs="Calibri"/>
                <w:b/>
                <w:bCs/>
                <w:color w:val="000000"/>
                <w:szCs w:val="22"/>
                <w:lang w:eastAsia="hr-HR"/>
              </w:rPr>
              <w:t>26</w:t>
            </w:r>
          </w:p>
        </w:tc>
        <w:tc>
          <w:tcPr>
            <w:tcW w:w="268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left"/>
              <w:rPr>
                <w:rFonts w:ascii="Calibri" w:hAnsi="Calibri" w:cs="Calibri"/>
                <w:b/>
                <w:bCs/>
                <w:color w:val="000000"/>
                <w:szCs w:val="22"/>
                <w:lang w:eastAsia="hr-HR"/>
              </w:rPr>
            </w:pPr>
            <w:r w:rsidRPr="00946648">
              <w:rPr>
                <w:rFonts w:ascii="Calibri" w:hAnsi="Calibri" w:cs="Calibri"/>
                <w:b/>
                <w:bCs/>
                <w:color w:val="000000"/>
                <w:szCs w:val="22"/>
                <w:lang w:eastAsia="hr-HR"/>
              </w:rPr>
              <w:t>Obveze za kredite i zajmove</w:t>
            </w:r>
          </w:p>
        </w:tc>
        <w:tc>
          <w:tcPr>
            <w:tcW w:w="520" w:type="dxa"/>
            <w:tcBorders>
              <w:top w:val="nil"/>
              <w:left w:val="nil"/>
              <w:bottom w:val="single" w:sz="4" w:space="0" w:color="auto"/>
              <w:right w:val="single" w:sz="4" w:space="0" w:color="auto"/>
            </w:tcBorders>
            <w:shd w:val="clear" w:color="000000" w:fill="E7E6E6"/>
            <w:vAlign w:val="center"/>
            <w:hideMark/>
          </w:tcPr>
          <w:p w:rsidR="00946648" w:rsidRPr="00946648" w:rsidRDefault="00946648" w:rsidP="00946648">
            <w:pPr>
              <w:jc w:val="center"/>
              <w:rPr>
                <w:rFonts w:ascii="Calibri" w:hAnsi="Calibri" w:cs="Calibri"/>
                <w:b/>
                <w:bCs/>
                <w:color w:val="000000"/>
                <w:szCs w:val="22"/>
                <w:lang w:eastAsia="hr-HR"/>
              </w:rPr>
            </w:pPr>
            <w:r w:rsidRPr="00946648">
              <w:rPr>
                <w:rFonts w:ascii="Calibri" w:hAnsi="Calibri" w:cs="Calibri"/>
                <w:b/>
                <w:bCs/>
                <w:color w:val="000000"/>
                <w:szCs w:val="22"/>
                <w:lang w:eastAsia="hr-HR"/>
              </w:rPr>
              <w:t>26</w:t>
            </w:r>
          </w:p>
        </w:tc>
        <w:tc>
          <w:tcPr>
            <w:tcW w:w="142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17.093.285,44</w:t>
            </w:r>
          </w:p>
        </w:tc>
        <w:tc>
          <w:tcPr>
            <w:tcW w:w="144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15.787.248,16</w:t>
            </w:r>
          </w:p>
        </w:tc>
        <w:tc>
          <w:tcPr>
            <w:tcW w:w="124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108,27</w:t>
            </w:r>
          </w:p>
        </w:tc>
      </w:tr>
      <w:tr w:rsidR="00946648" w:rsidRPr="00946648" w:rsidTr="00946648">
        <w:trPr>
          <w:trHeight w:val="300"/>
        </w:trPr>
        <w:tc>
          <w:tcPr>
            <w:tcW w:w="780" w:type="dxa"/>
            <w:tcBorders>
              <w:top w:val="nil"/>
              <w:left w:val="single" w:sz="4" w:space="0" w:color="auto"/>
              <w:bottom w:val="single" w:sz="4" w:space="0" w:color="auto"/>
              <w:right w:val="single" w:sz="4" w:space="0" w:color="auto"/>
            </w:tcBorders>
            <w:shd w:val="clear" w:color="000000" w:fill="E7E6E6"/>
            <w:hideMark/>
          </w:tcPr>
          <w:p w:rsidR="00946648" w:rsidRPr="00946648" w:rsidRDefault="00946648" w:rsidP="00946648">
            <w:pPr>
              <w:jc w:val="left"/>
              <w:rPr>
                <w:rFonts w:ascii="Calibri" w:hAnsi="Calibri" w:cs="Calibri"/>
                <w:b/>
                <w:bCs/>
                <w:color w:val="000000"/>
                <w:szCs w:val="22"/>
                <w:lang w:eastAsia="hr-HR"/>
              </w:rPr>
            </w:pPr>
            <w:r w:rsidRPr="00946648">
              <w:rPr>
                <w:rFonts w:ascii="Calibri" w:hAnsi="Calibri" w:cs="Calibri"/>
                <w:b/>
                <w:bCs/>
                <w:color w:val="000000"/>
                <w:szCs w:val="22"/>
                <w:lang w:eastAsia="hr-HR"/>
              </w:rPr>
              <w:t>29</w:t>
            </w:r>
          </w:p>
        </w:tc>
        <w:tc>
          <w:tcPr>
            <w:tcW w:w="2680" w:type="dxa"/>
            <w:tcBorders>
              <w:top w:val="nil"/>
              <w:left w:val="nil"/>
              <w:bottom w:val="single" w:sz="4" w:space="0" w:color="auto"/>
              <w:right w:val="single" w:sz="4" w:space="0" w:color="auto"/>
            </w:tcBorders>
            <w:shd w:val="clear" w:color="000000" w:fill="E7E6E6"/>
            <w:noWrap/>
            <w:vAlign w:val="bottom"/>
            <w:hideMark/>
          </w:tcPr>
          <w:p w:rsidR="00946648" w:rsidRPr="00946648" w:rsidRDefault="00946648" w:rsidP="00946648">
            <w:pPr>
              <w:jc w:val="left"/>
              <w:rPr>
                <w:rFonts w:ascii="Calibri" w:hAnsi="Calibri" w:cs="Calibri"/>
                <w:b/>
                <w:bCs/>
                <w:color w:val="000000"/>
                <w:szCs w:val="22"/>
                <w:lang w:eastAsia="hr-HR"/>
              </w:rPr>
            </w:pPr>
            <w:r w:rsidRPr="00946648">
              <w:rPr>
                <w:rFonts w:ascii="Calibri" w:hAnsi="Calibri" w:cs="Calibri"/>
                <w:b/>
                <w:bCs/>
                <w:color w:val="000000"/>
                <w:szCs w:val="22"/>
                <w:lang w:eastAsia="hr-HR"/>
              </w:rPr>
              <w:t>Odgođeno plaćanje rashoda</w:t>
            </w:r>
          </w:p>
        </w:tc>
        <w:tc>
          <w:tcPr>
            <w:tcW w:w="520" w:type="dxa"/>
            <w:tcBorders>
              <w:top w:val="nil"/>
              <w:left w:val="nil"/>
              <w:bottom w:val="single" w:sz="4" w:space="0" w:color="auto"/>
              <w:right w:val="single" w:sz="4" w:space="0" w:color="auto"/>
            </w:tcBorders>
            <w:shd w:val="clear" w:color="000000" w:fill="E7E6E6"/>
            <w:vAlign w:val="center"/>
            <w:hideMark/>
          </w:tcPr>
          <w:p w:rsidR="00946648" w:rsidRPr="00946648" w:rsidRDefault="00946648" w:rsidP="00946648">
            <w:pPr>
              <w:jc w:val="center"/>
              <w:rPr>
                <w:rFonts w:ascii="Calibri" w:hAnsi="Calibri" w:cs="Calibri"/>
                <w:b/>
                <w:bCs/>
                <w:color w:val="000000"/>
                <w:szCs w:val="22"/>
                <w:lang w:eastAsia="hr-HR"/>
              </w:rPr>
            </w:pPr>
            <w:r w:rsidRPr="00946648">
              <w:rPr>
                <w:rFonts w:ascii="Calibri" w:hAnsi="Calibri" w:cs="Calibri"/>
                <w:b/>
                <w:bCs/>
                <w:color w:val="000000"/>
                <w:szCs w:val="22"/>
                <w:lang w:eastAsia="hr-HR"/>
              </w:rPr>
              <w:t>29</w:t>
            </w:r>
          </w:p>
        </w:tc>
        <w:tc>
          <w:tcPr>
            <w:tcW w:w="142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1.207,55</w:t>
            </w:r>
          </w:p>
        </w:tc>
        <w:tc>
          <w:tcPr>
            <w:tcW w:w="144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7.226,17</w:t>
            </w:r>
          </w:p>
        </w:tc>
        <w:tc>
          <w:tcPr>
            <w:tcW w:w="1240" w:type="dxa"/>
            <w:tcBorders>
              <w:top w:val="nil"/>
              <w:left w:val="nil"/>
              <w:bottom w:val="single" w:sz="4" w:space="0" w:color="auto"/>
              <w:right w:val="single" w:sz="4" w:space="0" w:color="auto"/>
            </w:tcBorders>
            <w:shd w:val="clear" w:color="000000" w:fill="E7E6E6"/>
            <w:hideMark/>
          </w:tcPr>
          <w:p w:rsidR="00946648" w:rsidRPr="00946648" w:rsidRDefault="00946648" w:rsidP="00946648">
            <w:pPr>
              <w:jc w:val="right"/>
              <w:rPr>
                <w:rFonts w:ascii="Calibri" w:hAnsi="Calibri" w:cs="Calibri"/>
                <w:b/>
                <w:bCs/>
                <w:color w:val="000000"/>
                <w:szCs w:val="22"/>
                <w:lang w:eastAsia="hr-HR"/>
              </w:rPr>
            </w:pPr>
            <w:r w:rsidRPr="00946648">
              <w:rPr>
                <w:rFonts w:ascii="Calibri" w:hAnsi="Calibri" w:cs="Calibri"/>
                <w:b/>
                <w:bCs/>
                <w:color w:val="000000"/>
                <w:szCs w:val="22"/>
                <w:lang w:eastAsia="hr-HR"/>
              </w:rPr>
              <w:t>16,71</w:t>
            </w:r>
          </w:p>
        </w:tc>
      </w:tr>
    </w:tbl>
    <w:p w:rsidR="008B3AA1" w:rsidRDefault="008B3AA1" w:rsidP="008B3AA1">
      <w:pPr>
        <w:rPr>
          <w:rFonts w:cs="Arial"/>
          <w:szCs w:val="22"/>
        </w:rPr>
      </w:pPr>
    </w:p>
    <w:p w:rsidR="008B3AA1" w:rsidRPr="008673A6" w:rsidRDefault="008B3AA1" w:rsidP="008B3AA1">
      <w:pPr>
        <w:rPr>
          <w:rFonts w:cs="Arial"/>
          <w:szCs w:val="22"/>
        </w:rPr>
      </w:pPr>
    </w:p>
    <w:p w:rsidR="008B3AA1" w:rsidRPr="00366D0E" w:rsidRDefault="008B3AA1" w:rsidP="008B3AA1">
      <w:pPr>
        <w:rPr>
          <w:rFonts w:cs="Arial"/>
          <w:szCs w:val="22"/>
        </w:rPr>
      </w:pPr>
      <w:r w:rsidRPr="00366D0E">
        <w:rPr>
          <w:rFonts w:cs="Arial"/>
          <w:szCs w:val="22"/>
        </w:rPr>
        <w:t xml:space="preserve">Povećanje obveza u izvještajnom razdoblju iznosi </w:t>
      </w:r>
      <w:r w:rsidR="00D918F1" w:rsidRPr="00366D0E">
        <w:rPr>
          <w:rFonts w:cs="Arial"/>
          <w:szCs w:val="22"/>
        </w:rPr>
        <w:t>113.698.692,99</w:t>
      </w:r>
      <w:r w:rsidRPr="00366D0E">
        <w:rPr>
          <w:rFonts w:cs="Arial"/>
          <w:szCs w:val="22"/>
        </w:rPr>
        <w:t xml:space="preserve">eur, podmirene obveze izvještajnog razdoblja iznose </w:t>
      </w:r>
      <w:r w:rsidR="00D918F1" w:rsidRPr="00366D0E">
        <w:rPr>
          <w:rFonts w:cs="Arial"/>
          <w:szCs w:val="22"/>
        </w:rPr>
        <w:t>114.539.938,96</w:t>
      </w:r>
      <w:r w:rsidRPr="00366D0E">
        <w:rPr>
          <w:rFonts w:cs="Arial"/>
          <w:szCs w:val="22"/>
        </w:rPr>
        <w:t>eur što rezultira saldom obveza na dan 3</w:t>
      </w:r>
      <w:r w:rsidR="00D918F1" w:rsidRPr="00366D0E">
        <w:rPr>
          <w:rFonts w:cs="Arial"/>
          <w:szCs w:val="22"/>
        </w:rPr>
        <w:t>1</w:t>
      </w:r>
      <w:r w:rsidRPr="00366D0E">
        <w:rPr>
          <w:rFonts w:cs="Arial"/>
          <w:szCs w:val="22"/>
        </w:rPr>
        <w:t>.</w:t>
      </w:r>
      <w:r w:rsidR="00D918F1" w:rsidRPr="00366D0E">
        <w:rPr>
          <w:rFonts w:cs="Arial"/>
          <w:szCs w:val="22"/>
        </w:rPr>
        <w:t>12</w:t>
      </w:r>
      <w:r w:rsidRPr="00366D0E">
        <w:rPr>
          <w:rFonts w:cs="Arial"/>
          <w:szCs w:val="22"/>
        </w:rPr>
        <w:t xml:space="preserve">.2023.g u iznosu od </w:t>
      </w:r>
      <w:r w:rsidR="00D918F1" w:rsidRPr="00366D0E">
        <w:rPr>
          <w:rFonts w:cs="Arial"/>
          <w:szCs w:val="22"/>
        </w:rPr>
        <w:t>19.741.145,28</w:t>
      </w:r>
      <w:r w:rsidRPr="00366D0E">
        <w:rPr>
          <w:rFonts w:cs="Arial"/>
          <w:szCs w:val="22"/>
        </w:rPr>
        <w:t>eur zajedno sa stanjem obveza prenesenim iz prethodne g</w:t>
      </w:r>
      <w:r w:rsidR="00E0024D" w:rsidRPr="00366D0E">
        <w:rPr>
          <w:rFonts w:cs="Arial"/>
          <w:szCs w:val="22"/>
        </w:rPr>
        <w:t>odine u iznosu od 20.582.391,25</w:t>
      </w:r>
      <w:r w:rsidRPr="00366D0E">
        <w:rPr>
          <w:rFonts w:cs="Arial"/>
          <w:szCs w:val="22"/>
        </w:rPr>
        <w:t>eur.</w:t>
      </w:r>
    </w:p>
    <w:p w:rsidR="008B3AA1" w:rsidRPr="00366D0E" w:rsidRDefault="008B3AA1" w:rsidP="008B3AA1">
      <w:pPr>
        <w:rPr>
          <w:rFonts w:cs="Arial"/>
          <w:szCs w:val="22"/>
        </w:rPr>
      </w:pPr>
    </w:p>
    <w:p w:rsidR="008B3AA1" w:rsidRPr="00366D0E" w:rsidRDefault="008B3AA1" w:rsidP="008B3AA1">
      <w:pPr>
        <w:rPr>
          <w:rFonts w:cs="Arial"/>
          <w:szCs w:val="22"/>
        </w:rPr>
      </w:pPr>
      <w:r w:rsidRPr="00366D0E">
        <w:rPr>
          <w:rFonts w:cs="Arial"/>
          <w:szCs w:val="22"/>
        </w:rPr>
        <w:t xml:space="preserve">Ukupna vrijednost kontinuiranih rashoda prikazanih u ovom izvještajnom razdoblju iznosi </w:t>
      </w:r>
      <w:r w:rsidR="00E0024D" w:rsidRPr="00366D0E">
        <w:rPr>
          <w:rFonts w:cs="Arial"/>
          <w:szCs w:val="22"/>
        </w:rPr>
        <w:t xml:space="preserve">7.226,17eur, a </w:t>
      </w:r>
      <w:r w:rsidR="007414F7" w:rsidRPr="00366D0E">
        <w:rPr>
          <w:rFonts w:cs="Arial"/>
          <w:szCs w:val="22"/>
        </w:rPr>
        <w:t>njihova struktura prikazana je u tablici u nastavku.</w:t>
      </w:r>
    </w:p>
    <w:p w:rsidR="001E1E3B" w:rsidRPr="00366D0E" w:rsidRDefault="001E1E3B" w:rsidP="008B3AA1">
      <w:pPr>
        <w:rPr>
          <w:rFonts w:cs="Arial"/>
          <w:szCs w:val="22"/>
        </w:rPr>
      </w:pPr>
    </w:p>
    <w:p w:rsidR="001E1E3B" w:rsidRDefault="001E1E3B" w:rsidP="008B3AA1">
      <w:pPr>
        <w:rPr>
          <w:rFonts w:cs="Arial"/>
          <w:color w:val="2E74B5" w:themeColor="accent1" w:themeShade="BF"/>
          <w:szCs w:val="22"/>
        </w:rPr>
      </w:pPr>
    </w:p>
    <w:p w:rsidR="001E1E3B" w:rsidRDefault="001E1E3B" w:rsidP="008B3AA1">
      <w:pPr>
        <w:rPr>
          <w:rFonts w:cs="Arial"/>
          <w:color w:val="2E74B5" w:themeColor="accent1" w:themeShade="BF"/>
          <w:szCs w:val="22"/>
        </w:rPr>
      </w:pPr>
    </w:p>
    <w:p w:rsidR="001E1E3B" w:rsidRDefault="001E1E3B" w:rsidP="008B3AA1">
      <w:pPr>
        <w:rPr>
          <w:rFonts w:cs="Arial"/>
          <w:color w:val="2E74B5" w:themeColor="accent1" w:themeShade="BF"/>
          <w:szCs w:val="22"/>
        </w:rPr>
      </w:pPr>
    </w:p>
    <w:p w:rsidR="001E1E3B" w:rsidRDefault="001E1E3B" w:rsidP="008B3AA1">
      <w:pPr>
        <w:rPr>
          <w:rFonts w:cs="Arial"/>
          <w:color w:val="2E74B5" w:themeColor="accent1" w:themeShade="BF"/>
          <w:szCs w:val="22"/>
        </w:rPr>
      </w:pPr>
    </w:p>
    <w:p w:rsidR="001E1E3B" w:rsidRDefault="001E1E3B" w:rsidP="008B3AA1">
      <w:pPr>
        <w:rPr>
          <w:rFonts w:cs="Arial"/>
          <w:color w:val="2E74B5" w:themeColor="accent1" w:themeShade="BF"/>
          <w:szCs w:val="22"/>
        </w:rPr>
      </w:pPr>
    </w:p>
    <w:p w:rsidR="00D918F1" w:rsidRDefault="008B3AA1" w:rsidP="008B3AA1">
      <w:pPr>
        <w:rPr>
          <w:rFonts w:ascii="Calibri" w:hAnsi="Calibri" w:cs="Calibri"/>
          <w:b/>
          <w:bCs/>
          <w:color w:val="000000"/>
          <w:szCs w:val="22"/>
          <w:lang w:eastAsia="hr-HR"/>
        </w:rPr>
      </w:pPr>
      <w:r w:rsidRPr="008673A6">
        <w:rPr>
          <w:rFonts w:ascii="Calibri" w:hAnsi="Calibri" w:cs="Calibri"/>
          <w:b/>
          <w:bCs/>
          <w:color w:val="000000"/>
          <w:szCs w:val="22"/>
          <w:lang w:eastAsia="hr-HR"/>
        </w:rPr>
        <w:lastRenderedPageBreak/>
        <w:t>Tablica: Struktura kontinuiranih ob</w:t>
      </w:r>
      <w:r w:rsidR="00D918F1">
        <w:rPr>
          <w:rFonts w:ascii="Calibri" w:hAnsi="Calibri" w:cs="Calibri"/>
          <w:b/>
          <w:bCs/>
          <w:color w:val="000000"/>
          <w:szCs w:val="22"/>
          <w:lang w:eastAsia="hr-HR"/>
        </w:rPr>
        <w:t>veza Istarske županije na dan 31</w:t>
      </w:r>
      <w:r w:rsidRPr="008673A6">
        <w:rPr>
          <w:rFonts w:ascii="Calibri" w:hAnsi="Calibri" w:cs="Calibri"/>
          <w:b/>
          <w:bCs/>
          <w:color w:val="000000"/>
          <w:szCs w:val="22"/>
          <w:lang w:eastAsia="hr-HR"/>
        </w:rPr>
        <w:t>.</w:t>
      </w:r>
      <w:r w:rsidR="00D918F1">
        <w:rPr>
          <w:rFonts w:ascii="Calibri" w:hAnsi="Calibri" w:cs="Calibri"/>
          <w:b/>
          <w:bCs/>
          <w:color w:val="000000"/>
          <w:szCs w:val="22"/>
          <w:lang w:eastAsia="hr-HR"/>
        </w:rPr>
        <w:t>12</w:t>
      </w:r>
      <w:r w:rsidRPr="008673A6">
        <w:rPr>
          <w:rFonts w:ascii="Calibri" w:hAnsi="Calibri" w:cs="Calibri"/>
          <w:b/>
          <w:bCs/>
          <w:color w:val="000000"/>
          <w:szCs w:val="22"/>
          <w:lang w:eastAsia="hr-HR"/>
        </w:rPr>
        <w:t>.2023. godine.</w:t>
      </w:r>
    </w:p>
    <w:tbl>
      <w:tblPr>
        <w:tblW w:w="3492" w:type="pct"/>
        <w:tblInd w:w="845" w:type="dxa"/>
        <w:tblLook w:val="04A0" w:firstRow="1" w:lastRow="0" w:firstColumn="1" w:lastColumn="0" w:noHBand="0" w:noVBand="1"/>
      </w:tblPr>
      <w:tblGrid>
        <w:gridCol w:w="5260"/>
        <w:gridCol w:w="1030"/>
      </w:tblGrid>
      <w:tr w:rsidR="00741A28" w:rsidRPr="00741A28" w:rsidTr="00741A28">
        <w:trPr>
          <w:trHeight w:val="250"/>
        </w:trPr>
        <w:tc>
          <w:tcPr>
            <w:tcW w:w="418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center"/>
              <w:rPr>
                <w:rFonts w:cs="Arial"/>
                <w:b/>
                <w:bCs/>
                <w:color w:val="000000"/>
                <w:sz w:val="18"/>
                <w:szCs w:val="18"/>
                <w:lang w:eastAsia="hr-HR"/>
              </w:rPr>
            </w:pPr>
            <w:r w:rsidRPr="00741A28">
              <w:rPr>
                <w:rFonts w:cs="Arial"/>
                <w:b/>
                <w:bCs/>
                <w:color w:val="000000"/>
                <w:sz w:val="18"/>
                <w:szCs w:val="18"/>
                <w:lang w:eastAsia="hr-HR"/>
              </w:rPr>
              <w:t>Opis</w:t>
            </w:r>
          </w:p>
        </w:tc>
        <w:tc>
          <w:tcPr>
            <w:tcW w:w="819" w:type="pct"/>
            <w:tcBorders>
              <w:top w:val="single" w:sz="8" w:space="0" w:color="auto"/>
              <w:left w:val="nil"/>
              <w:bottom w:val="single" w:sz="8" w:space="0" w:color="auto"/>
              <w:right w:val="single" w:sz="8" w:space="0" w:color="auto"/>
            </w:tcBorders>
            <w:shd w:val="clear" w:color="auto" w:fill="auto"/>
            <w:vAlign w:val="center"/>
            <w:hideMark/>
          </w:tcPr>
          <w:p w:rsidR="00741A28" w:rsidRPr="00741A28" w:rsidRDefault="00741A28" w:rsidP="00741A28">
            <w:pPr>
              <w:jc w:val="center"/>
              <w:rPr>
                <w:rFonts w:cs="Arial"/>
                <w:b/>
                <w:bCs/>
                <w:color w:val="000000"/>
                <w:sz w:val="18"/>
                <w:szCs w:val="18"/>
                <w:lang w:eastAsia="hr-HR"/>
              </w:rPr>
            </w:pPr>
            <w:r w:rsidRPr="00741A28">
              <w:rPr>
                <w:rFonts w:cs="Arial"/>
                <w:b/>
                <w:bCs/>
                <w:color w:val="000000"/>
                <w:sz w:val="18"/>
                <w:szCs w:val="18"/>
                <w:lang w:eastAsia="hr-HR"/>
              </w:rPr>
              <w:t>Iznos</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Grad Buzet troškovi grijanja za 12/2023</w:t>
            </w:r>
          </w:p>
        </w:tc>
        <w:tc>
          <w:tcPr>
            <w:tcW w:w="819" w:type="pct"/>
            <w:tcBorders>
              <w:top w:val="nil"/>
              <w:left w:val="nil"/>
              <w:bottom w:val="nil"/>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487,79</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Grad Buzet električna energija za 12/2023</w:t>
            </w:r>
          </w:p>
        </w:tc>
        <w:tc>
          <w:tcPr>
            <w:tcW w:w="819" w:type="pct"/>
            <w:tcBorders>
              <w:top w:val="single" w:sz="8" w:space="0" w:color="auto"/>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167,40</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Grad Buzet trošak vode za 12/2023</w:t>
            </w:r>
          </w:p>
        </w:tc>
        <w:tc>
          <w:tcPr>
            <w:tcW w:w="819" w:type="pct"/>
            <w:tcBorders>
              <w:top w:val="nil"/>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17,94</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Grad Buzet odvoz smeća za 12/2023</w:t>
            </w:r>
          </w:p>
        </w:tc>
        <w:tc>
          <w:tcPr>
            <w:tcW w:w="819" w:type="pct"/>
            <w:tcBorders>
              <w:top w:val="nil"/>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78,23</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Grad Buzet troškovi čuvanja objekta za 12/2023</w:t>
            </w:r>
          </w:p>
        </w:tc>
        <w:tc>
          <w:tcPr>
            <w:tcW w:w="819" w:type="pct"/>
            <w:tcBorders>
              <w:top w:val="nil"/>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373,28</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Grad Buzet  troškovi čišćenja za 12/2023</w:t>
            </w:r>
          </w:p>
        </w:tc>
        <w:tc>
          <w:tcPr>
            <w:tcW w:w="819" w:type="pct"/>
            <w:tcBorders>
              <w:top w:val="nil"/>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398,99</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 xml:space="preserve">Grad Buzet troškovi </w:t>
            </w:r>
            <w:proofErr w:type="spellStart"/>
            <w:r w:rsidRPr="00741A28">
              <w:rPr>
                <w:rFonts w:cs="Arial"/>
                <w:color w:val="000000"/>
                <w:sz w:val="18"/>
                <w:szCs w:val="18"/>
                <w:lang w:eastAsia="hr-HR"/>
              </w:rPr>
              <w:t>održ</w:t>
            </w:r>
            <w:proofErr w:type="spellEnd"/>
            <w:r w:rsidRPr="00741A28">
              <w:rPr>
                <w:rFonts w:cs="Arial"/>
                <w:color w:val="000000"/>
                <w:sz w:val="18"/>
                <w:szCs w:val="18"/>
                <w:lang w:eastAsia="hr-HR"/>
              </w:rPr>
              <w:t>. zgrade za 12/2023</w:t>
            </w:r>
          </w:p>
        </w:tc>
        <w:tc>
          <w:tcPr>
            <w:tcW w:w="819" w:type="pct"/>
            <w:tcBorders>
              <w:top w:val="nil"/>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104,64</w:t>
            </w:r>
          </w:p>
        </w:tc>
      </w:tr>
      <w:tr w:rsidR="00741A28" w:rsidRPr="00741A28" w:rsidTr="00741A28">
        <w:trPr>
          <w:trHeight w:val="250"/>
        </w:trPr>
        <w:tc>
          <w:tcPr>
            <w:tcW w:w="4181" w:type="pct"/>
            <w:tcBorders>
              <w:top w:val="nil"/>
              <w:left w:val="single" w:sz="8" w:space="0" w:color="auto"/>
              <w:bottom w:val="single" w:sz="8" w:space="0" w:color="auto"/>
              <w:right w:val="nil"/>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 xml:space="preserve">Grad Pazin naknada za </w:t>
            </w:r>
            <w:proofErr w:type="spellStart"/>
            <w:r w:rsidRPr="00741A28">
              <w:rPr>
                <w:rFonts w:cs="Arial"/>
                <w:color w:val="000000"/>
                <w:sz w:val="18"/>
                <w:szCs w:val="18"/>
                <w:lang w:eastAsia="hr-HR"/>
              </w:rPr>
              <w:t>uređ</w:t>
            </w:r>
            <w:proofErr w:type="spellEnd"/>
            <w:r w:rsidRPr="00741A28">
              <w:rPr>
                <w:rFonts w:cs="Arial"/>
                <w:color w:val="000000"/>
                <w:sz w:val="18"/>
                <w:szCs w:val="18"/>
                <w:lang w:eastAsia="hr-HR"/>
              </w:rPr>
              <w:t>. voda za 2023</w:t>
            </w:r>
          </w:p>
        </w:tc>
        <w:tc>
          <w:tcPr>
            <w:tcW w:w="819" w:type="pct"/>
            <w:tcBorders>
              <w:top w:val="nil"/>
              <w:left w:val="single" w:sz="8" w:space="0" w:color="auto"/>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12,39</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Energo d.o.o. troškovi grijanja za 12/2023</w:t>
            </w:r>
          </w:p>
        </w:tc>
        <w:tc>
          <w:tcPr>
            <w:tcW w:w="819" w:type="pct"/>
            <w:tcBorders>
              <w:top w:val="nil"/>
              <w:left w:val="nil"/>
              <w:bottom w:val="nil"/>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927,78</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 xml:space="preserve">LC d.o.o. </w:t>
            </w:r>
            <w:proofErr w:type="spellStart"/>
            <w:r w:rsidRPr="00741A28">
              <w:rPr>
                <w:rFonts w:cs="Arial"/>
                <w:color w:val="000000"/>
                <w:sz w:val="18"/>
                <w:szCs w:val="18"/>
                <w:lang w:eastAsia="hr-HR"/>
              </w:rPr>
              <w:t>premium</w:t>
            </w:r>
            <w:proofErr w:type="spellEnd"/>
            <w:r w:rsidRPr="00741A28">
              <w:rPr>
                <w:rFonts w:cs="Arial"/>
                <w:color w:val="000000"/>
                <w:sz w:val="18"/>
                <w:szCs w:val="18"/>
                <w:lang w:eastAsia="hr-HR"/>
              </w:rPr>
              <w:t xml:space="preserve"> održavanje za 12/23</w:t>
            </w:r>
          </w:p>
        </w:tc>
        <w:tc>
          <w:tcPr>
            <w:tcW w:w="819" w:type="pct"/>
            <w:tcBorders>
              <w:top w:val="single" w:sz="8" w:space="0" w:color="auto"/>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1.752,25</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Grad Buje trošak vode za 12/2023</w:t>
            </w:r>
          </w:p>
        </w:tc>
        <w:tc>
          <w:tcPr>
            <w:tcW w:w="819" w:type="pct"/>
            <w:tcBorders>
              <w:top w:val="nil"/>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7,45</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Grad Buje odvoz smeća za 12/2023</w:t>
            </w:r>
          </w:p>
        </w:tc>
        <w:tc>
          <w:tcPr>
            <w:tcW w:w="819" w:type="pct"/>
            <w:tcBorders>
              <w:top w:val="nil"/>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25,85</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 xml:space="preserve">Grad Buje naknada za </w:t>
            </w:r>
            <w:proofErr w:type="spellStart"/>
            <w:r w:rsidRPr="00741A28">
              <w:rPr>
                <w:rFonts w:cs="Arial"/>
                <w:color w:val="000000"/>
                <w:sz w:val="18"/>
                <w:szCs w:val="18"/>
                <w:lang w:eastAsia="hr-HR"/>
              </w:rPr>
              <w:t>uređ.voda</w:t>
            </w:r>
            <w:proofErr w:type="spellEnd"/>
            <w:r w:rsidRPr="00741A28">
              <w:rPr>
                <w:rFonts w:cs="Arial"/>
                <w:color w:val="000000"/>
                <w:sz w:val="18"/>
                <w:szCs w:val="18"/>
                <w:lang w:eastAsia="hr-HR"/>
              </w:rPr>
              <w:t xml:space="preserve"> za 12/2023</w:t>
            </w:r>
          </w:p>
        </w:tc>
        <w:tc>
          <w:tcPr>
            <w:tcW w:w="819" w:type="pct"/>
            <w:tcBorders>
              <w:top w:val="nil"/>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4,56</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Grad Buje električna energija za 12/2023</w:t>
            </w:r>
          </w:p>
        </w:tc>
        <w:tc>
          <w:tcPr>
            <w:tcW w:w="819" w:type="pct"/>
            <w:tcBorders>
              <w:top w:val="nil"/>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354,84</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Grad Buje trošak potr. materijala za 12/2023</w:t>
            </w:r>
          </w:p>
        </w:tc>
        <w:tc>
          <w:tcPr>
            <w:tcW w:w="819" w:type="pct"/>
            <w:tcBorders>
              <w:top w:val="nil"/>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67,11</w:t>
            </w:r>
          </w:p>
        </w:tc>
      </w:tr>
      <w:tr w:rsidR="00741A28" w:rsidRPr="00741A28" w:rsidTr="00741A28">
        <w:trPr>
          <w:trHeight w:val="250"/>
        </w:trPr>
        <w:tc>
          <w:tcPr>
            <w:tcW w:w="4181" w:type="pct"/>
            <w:tcBorders>
              <w:top w:val="nil"/>
              <w:left w:val="single" w:sz="8" w:space="0" w:color="auto"/>
              <w:bottom w:val="single" w:sz="8" w:space="0" w:color="auto"/>
              <w:right w:val="nil"/>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Grad Buje troškovi čišćenja za 12/2023</w:t>
            </w:r>
          </w:p>
        </w:tc>
        <w:tc>
          <w:tcPr>
            <w:tcW w:w="819" w:type="pct"/>
            <w:tcBorders>
              <w:top w:val="nil"/>
              <w:left w:val="single" w:sz="8" w:space="0" w:color="auto"/>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278,88</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Grad Labin električna energija za 12/2023</w:t>
            </w:r>
          </w:p>
        </w:tc>
        <w:tc>
          <w:tcPr>
            <w:tcW w:w="819" w:type="pct"/>
            <w:tcBorders>
              <w:top w:val="nil"/>
              <w:left w:val="nil"/>
              <w:bottom w:val="nil"/>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261,50</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Grad Labin odvoz smeća za 12/2023</w:t>
            </w:r>
          </w:p>
        </w:tc>
        <w:tc>
          <w:tcPr>
            <w:tcW w:w="819" w:type="pct"/>
            <w:tcBorders>
              <w:top w:val="single" w:sz="8" w:space="0" w:color="auto"/>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23,76</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Grad Labin troškovi grijanja za 12/2023</w:t>
            </w:r>
          </w:p>
        </w:tc>
        <w:tc>
          <w:tcPr>
            <w:tcW w:w="819" w:type="pct"/>
            <w:tcBorders>
              <w:top w:val="nil"/>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534,19</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 xml:space="preserve">Grad Labin troškovi </w:t>
            </w:r>
            <w:proofErr w:type="spellStart"/>
            <w:r w:rsidRPr="00741A28">
              <w:rPr>
                <w:rFonts w:cs="Arial"/>
                <w:color w:val="000000"/>
                <w:sz w:val="18"/>
                <w:szCs w:val="18"/>
                <w:lang w:eastAsia="hr-HR"/>
              </w:rPr>
              <w:t>održ.opreme</w:t>
            </w:r>
            <w:proofErr w:type="spellEnd"/>
            <w:r w:rsidRPr="00741A28">
              <w:rPr>
                <w:rFonts w:cs="Arial"/>
                <w:color w:val="000000"/>
                <w:sz w:val="18"/>
                <w:szCs w:val="18"/>
                <w:lang w:eastAsia="hr-HR"/>
              </w:rPr>
              <w:t xml:space="preserve"> za 12/2023</w:t>
            </w:r>
          </w:p>
        </w:tc>
        <w:tc>
          <w:tcPr>
            <w:tcW w:w="819" w:type="pct"/>
            <w:tcBorders>
              <w:top w:val="nil"/>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53,71</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 xml:space="preserve">Grad Labin naknada za </w:t>
            </w:r>
            <w:proofErr w:type="spellStart"/>
            <w:r w:rsidRPr="00741A28">
              <w:rPr>
                <w:rFonts w:cs="Arial"/>
                <w:color w:val="000000"/>
                <w:sz w:val="18"/>
                <w:szCs w:val="18"/>
                <w:lang w:eastAsia="hr-HR"/>
              </w:rPr>
              <w:t>uređ.voda</w:t>
            </w:r>
            <w:proofErr w:type="spellEnd"/>
            <w:r w:rsidRPr="00741A28">
              <w:rPr>
                <w:rFonts w:cs="Arial"/>
                <w:color w:val="000000"/>
                <w:sz w:val="18"/>
                <w:szCs w:val="18"/>
                <w:lang w:eastAsia="hr-HR"/>
              </w:rPr>
              <w:t xml:space="preserve"> za 12/2023</w:t>
            </w:r>
          </w:p>
        </w:tc>
        <w:tc>
          <w:tcPr>
            <w:tcW w:w="819" w:type="pct"/>
            <w:tcBorders>
              <w:top w:val="nil"/>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9,31</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 xml:space="preserve">Grad Labin troškovi </w:t>
            </w:r>
            <w:proofErr w:type="spellStart"/>
            <w:r w:rsidRPr="00741A28">
              <w:rPr>
                <w:rFonts w:cs="Arial"/>
                <w:color w:val="000000"/>
                <w:sz w:val="18"/>
                <w:szCs w:val="18"/>
                <w:lang w:eastAsia="hr-HR"/>
              </w:rPr>
              <w:t>održ.zgrade</w:t>
            </w:r>
            <w:proofErr w:type="spellEnd"/>
            <w:r w:rsidRPr="00741A28">
              <w:rPr>
                <w:rFonts w:cs="Arial"/>
                <w:color w:val="000000"/>
                <w:sz w:val="18"/>
                <w:szCs w:val="18"/>
                <w:lang w:eastAsia="hr-HR"/>
              </w:rPr>
              <w:t xml:space="preserve"> za 12/2023</w:t>
            </w:r>
          </w:p>
        </w:tc>
        <w:tc>
          <w:tcPr>
            <w:tcW w:w="819" w:type="pct"/>
            <w:tcBorders>
              <w:top w:val="nil"/>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53,71</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Grad Labin trošak vode za 12/2023</w:t>
            </w:r>
          </w:p>
        </w:tc>
        <w:tc>
          <w:tcPr>
            <w:tcW w:w="819" w:type="pct"/>
            <w:tcBorders>
              <w:top w:val="nil"/>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39,10</w:t>
            </w:r>
          </w:p>
        </w:tc>
      </w:tr>
      <w:tr w:rsidR="00741A28" w:rsidRPr="00741A28" w:rsidTr="00741A28">
        <w:trPr>
          <w:trHeight w:val="250"/>
        </w:trPr>
        <w:tc>
          <w:tcPr>
            <w:tcW w:w="4181" w:type="pct"/>
            <w:tcBorders>
              <w:top w:val="nil"/>
              <w:left w:val="single" w:sz="8" w:space="0" w:color="auto"/>
              <w:bottom w:val="single" w:sz="8" w:space="0" w:color="auto"/>
              <w:right w:val="nil"/>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Grad Labin troškovi čuvanje objekta za 12/2023</w:t>
            </w:r>
          </w:p>
        </w:tc>
        <w:tc>
          <w:tcPr>
            <w:tcW w:w="819" w:type="pct"/>
            <w:tcBorders>
              <w:top w:val="nil"/>
              <w:left w:val="single" w:sz="8" w:space="0" w:color="auto"/>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508,92</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HEP Elektra d.o.o. električna energija za 8/2023</w:t>
            </w:r>
          </w:p>
        </w:tc>
        <w:tc>
          <w:tcPr>
            <w:tcW w:w="819" w:type="pct"/>
            <w:tcBorders>
              <w:top w:val="nil"/>
              <w:left w:val="nil"/>
              <w:bottom w:val="nil"/>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17,80</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Grad Poreč trošak vode za 12/2023</w:t>
            </w:r>
          </w:p>
        </w:tc>
        <w:tc>
          <w:tcPr>
            <w:tcW w:w="819" w:type="pct"/>
            <w:tcBorders>
              <w:top w:val="single" w:sz="8" w:space="0" w:color="auto"/>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97,64</w:t>
            </w:r>
          </w:p>
        </w:tc>
      </w:tr>
      <w:tr w:rsidR="00741A28" w:rsidRPr="00741A28" w:rsidTr="00741A28">
        <w:trPr>
          <w:trHeight w:val="250"/>
        </w:trPr>
        <w:tc>
          <w:tcPr>
            <w:tcW w:w="4181"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left"/>
              <w:rPr>
                <w:rFonts w:cs="Arial"/>
                <w:color w:val="000000"/>
                <w:sz w:val="18"/>
                <w:szCs w:val="18"/>
                <w:lang w:eastAsia="hr-HR"/>
              </w:rPr>
            </w:pPr>
            <w:r w:rsidRPr="00741A28">
              <w:rPr>
                <w:rFonts w:cs="Arial"/>
                <w:color w:val="000000"/>
                <w:sz w:val="18"/>
                <w:szCs w:val="18"/>
                <w:lang w:eastAsia="hr-HR"/>
              </w:rPr>
              <w:t>Grad Poreč troškovi čuvanje objekta za 12/2023</w:t>
            </w:r>
          </w:p>
        </w:tc>
        <w:tc>
          <w:tcPr>
            <w:tcW w:w="819" w:type="pct"/>
            <w:tcBorders>
              <w:top w:val="nil"/>
              <w:left w:val="nil"/>
              <w:bottom w:val="single" w:sz="8" w:space="0" w:color="000000"/>
              <w:right w:val="single" w:sz="8" w:space="0" w:color="auto"/>
            </w:tcBorders>
            <w:shd w:val="clear" w:color="auto" w:fill="auto"/>
            <w:vAlign w:val="center"/>
            <w:hideMark/>
          </w:tcPr>
          <w:p w:rsidR="00741A28" w:rsidRPr="00741A28" w:rsidRDefault="00741A28" w:rsidP="00741A28">
            <w:pPr>
              <w:jc w:val="right"/>
              <w:rPr>
                <w:rFonts w:cs="Arial"/>
                <w:color w:val="000000"/>
                <w:sz w:val="18"/>
                <w:szCs w:val="18"/>
                <w:lang w:eastAsia="hr-HR"/>
              </w:rPr>
            </w:pPr>
            <w:r w:rsidRPr="00741A28">
              <w:rPr>
                <w:rFonts w:cs="Arial"/>
                <w:color w:val="000000"/>
                <w:sz w:val="18"/>
                <w:szCs w:val="18"/>
                <w:lang w:eastAsia="hr-HR"/>
              </w:rPr>
              <w:t>567,15</w:t>
            </w:r>
          </w:p>
        </w:tc>
      </w:tr>
      <w:tr w:rsidR="00741A28" w:rsidRPr="00741A28" w:rsidTr="00741A28">
        <w:trPr>
          <w:trHeight w:val="250"/>
        </w:trPr>
        <w:tc>
          <w:tcPr>
            <w:tcW w:w="4181" w:type="pct"/>
            <w:tcBorders>
              <w:top w:val="nil"/>
              <w:left w:val="single" w:sz="8" w:space="0" w:color="auto"/>
              <w:bottom w:val="single" w:sz="8" w:space="0" w:color="000000"/>
              <w:right w:val="nil"/>
            </w:tcBorders>
            <w:shd w:val="clear" w:color="auto" w:fill="auto"/>
            <w:vAlign w:val="center"/>
            <w:hideMark/>
          </w:tcPr>
          <w:p w:rsidR="00741A28" w:rsidRPr="00741A28" w:rsidRDefault="00741A28" w:rsidP="00741A28">
            <w:pPr>
              <w:jc w:val="center"/>
              <w:rPr>
                <w:rFonts w:ascii="Calibri" w:hAnsi="Calibri" w:cs="Calibri"/>
                <w:b/>
                <w:bCs/>
                <w:color w:val="000000"/>
                <w:sz w:val="18"/>
                <w:szCs w:val="18"/>
                <w:lang w:eastAsia="hr-HR"/>
              </w:rPr>
            </w:pPr>
            <w:r w:rsidRPr="00741A28">
              <w:rPr>
                <w:rFonts w:ascii="Calibri" w:hAnsi="Calibri" w:cs="Calibri"/>
                <w:b/>
                <w:bCs/>
                <w:color w:val="000000"/>
                <w:sz w:val="18"/>
                <w:szCs w:val="18"/>
                <w:lang w:eastAsia="hr-HR"/>
              </w:rPr>
              <w:t xml:space="preserve">UKUPNO  </w:t>
            </w:r>
          </w:p>
        </w:tc>
        <w:tc>
          <w:tcPr>
            <w:tcW w:w="819" w:type="pct"/>
            <w:tcBorders>
              <w:top w:val="nil"/>
              <w:left w:val="single" w:sz="8" w:space="0" w:color="auto"/>
              <w:bottom w:val="single" w:sz="8" w:space="0" w:color="auto"/>
              <w:right w:val="single" w:sz="8" w:space="0" w:color="auto"/>
            </w:tcBorders>
            <w:shd w:val="clear" w:color="auto" w:fill="auto"/>
            <w:vAlign w:val="center"/>
            <w:hideMark/>
          </w:tcPr>
          <w:p w:rsidR="00741A28" w:rsidRPr="00741A28" w:rsidRDefault="00741A28" w:rsidP="00741A28">
            <w:pPr>
              <w:jc w:val="right"/>
              <w:rPr>
                <w:rFonts w:ascii="Calibri" w:hAnsi="Calibri" w:cs="Calibri"/>
                <w:b/>
                <w:bCs/>
                <w:color w:val="000000"/>
                <w:sz w:val="18"/>
                <w:szCs w:val="18"/>
                <w:lang w:eastAsia="hr-HR"/>
              </w:rPr>
            </w:pPr>
            <w:r w:rsidRPr="00741A28">
              <w:rPr>
                <w:rFonts w:ascii="Calibri" w:hAnsi="Calibri" w:cs="Calibri"/>
                <w:b/>
                <w:bCs/>
                <w:color w:val="000000"/>
                <w:sz w:val="18"/>
                <w:szCs w:val="18"/>
                <w:lang w:eastAsia="hr-HR"/>
              </w:rPr>
              <w:t>7.226,17</w:t>
            </w:r>
          </w:p>
        </w:tc>
      </w:tr>
    </w:tbl>
    <w:p w:rsidR="008B3AA1" w:rsidRPr="006F5AE9" w:rsidRDefault="008B3AA1" w:rsidP="008B3AA1">
      <w:pPr>
        <w:rPr>
          <w:rFonts w:ascii="Times New Roman" w:hAnsi="Times New Roman"/>
          <w:color w:val="2E74B5" w:themeColor="accent1" w:themeShade="BF"/>
          <w:sz w:val="20"/>
          <w:lang w:eastAsia="hr-HR"/>
        </w:rPr>
      </w:pPr>
      <w:r w:rsidRPr="006F5AE9">
        <w:rPr>
          <w:color w:val="2E74B5" w:themeColor="accent1" w:themeShade="BF"/>
          <w:lang w:eastAsia="hr-HR"/>
        </w:rPr>
        <w:fldChar w:fldCharType="begin"/>
      </w:r>
      <w:r w:rsidRPr="006F5AE9">
        <w:rPr>
          <w:color w:val="2E74B5" w:themeColor="accent1" w:themeShade="BF"/>
          <w:lang w:eastAsia="hr-HR"/>
        </w:rPr>
        <w:instrText xml:space="preserve"> LINK </w:instrText>
      </w:r>
      <w:r w:rsidR="00E325FC">
        <w:rPr>
          <w:color w:val="2E74B5" w:themeColor="accent1" w:themeShade="BF"/>
          <w:lang w:eastAsia="hr-HR"/>
        </w:rPr>
        <w:instrText xml:space="preserve">Excel.Sheet.12 "\\\\pu-fs-01\\Dokumenti$\\pzlicul\\Desktop\\PATRICIA\\OBRAČUN\\2023\\01-09\\291- UKULKULIRANI TROŠAK.xlsx" "AVR (2)!R4C1:R29C2" </w:instrText>
      </w:r>
      <w:r w:rsidRPr="006F5AE9">
        <w:rPr>
          <w:color w:val="2E74B5" w:themeColor="accent1" w:themeShade="BF"/>
          <w:lang w:eastAsia="hr-HR"/>
        </w:rPr>
        <w:instrText xml:space="preserve">\a \f 4 \h </w:instrText>
      </w:r>
      <w:r w:rsidRPr="006F5AE9">
        <w:rPr>
          <w:color w:val="2E74B5" w:themeColor="accent1" w:themeShade="BF"/>
          <w:lang w:eastAsia="hr-HR"/>
        </w:rPr>
        <w:fldChar w:fldCharType="separate"/>
      </w:r>
    </w:p>
    <w:p w:rsidR="002F09DD" w:rsidRPr="002F09DD" w:rsidRDefault="008B3AA1" w:rsidP="008B3AA1">
      <w:pPr>
        <w:rPr>
          <w:rFonts w:cs="Arial"/>
          <w:szCs w:val="22"/>
        </w:rPr>
      </w:pPr>
      <w:r w:rsidRPr="006F5AE9">
        <w:rPr>
          <w:rFonts w:ascii="Calibri" w:hAnsi="Calibri" w:cs="Calibri"/>
          <w:b/>
          <w:bCs/>
          <w:color w:val="2E74B5" w:themeColor="accent1" w:themeShade="BF"/>
          <w:szCs w:val="22"/>
          <w:lang w:eastAsia="hr-HR"/>
        </w:rPr>
        <w:fldChar w:fldCharType="end"/>
      </w:r>
      <w:r w:rsidRPr="002F09DD">
        <w:rPr>
          <w:rFonts w:cs="Arial"/>
          <w:szCs w:val="22"/>
        </w:rPr>
        <w:t>Stanje dospjelih obveza na dan 3</w:t>
      </w:r>
      <w:r w:rsidR="007414F7" w:rsidRPr="002F09DD">
        <w:rPr>
          <w:rFonts w:cs="Arial"/>
          <w:szCs w:val="22"/>
        </w:rPr>
        <w:t>1</w:t>
      </w:r>
      <w:r w:rsidRPr="002F09DD">
        <w:rPr>
          <w:rFonts w:cs="Arial"/>
          <w:szCs w:val="22"/>
        </w:rPr>
        <w:t>.</w:t>
      </w:r>
      <w:r w:rsidR="007414F7" w:rsidRPr="002F09DD">
        <w:rPr>
          <w:rFonts w:cs="Arial"/>
          <w:szCs w:val="22"/>
        </w:rPr>
        <w:t>12</w:t>
      </w:r>
      <w:r w:rsidRPr="002F09DD">
        <w:rPr>
          <w:rFonts w:cs="Arial"/>
          <w:szCs w:val="22"/>
        </w:rPr>
        <w:t xml:space="preserve">.2023.g. iznosi </w:t>
      </w:r>
      <w:r w:rsidR="007414F7" w:rsidRPr="002F09DD">
        <w:rPr>
          <w:rFonts w:cs="Arial"/>
          <w:szCs w:val="22"/>
        </w:rPr>
        <w:t>104.698,23</w:t>
      </w:r>
      <w:r w:rsidRPr="002F09DD">
        <w:rPr>
          <w:rFonts w:cs="Arial"/>
          <w:szCs w:val="22"/>
        </w:rPr>
        <w:t xml:space="preserve">eur (V007). Na dospjele rashode poslovanja Istarske županije odnosi se </w:t>
      </w:r>
      <w:r w:rsidR="007414F7" w:rsidRPr="002F09DD">
        <w:rPr>
          <w:rFonts w:cs="Arial"/>
          <w:szCs w:val="22"/>
        </w:rPr>
        <w:t>103.566,34</w:t>
      </w:r>
      <w:r w:rsidRPr="002F09DD">
        <w:rPr>
          <w:rFonts w:cs="Arial"/>
          <w:szCs w:val="22"/>
        </w:rPr>
        <w:t xml:space="preserve">eur od čega na obveze za materijalne rashode se odnosi </w:t>
      </w:r>
      <w:r w:rsidR="007414F7" w:rsidRPr="002F09DD">
        <w:rPr>
          <w:rFonts w:cs="Arial"/>
          <w:szCs w:val="22"/>
        </w:rPr>
        <w:t>89.118,71</w:t>
      </w:r>
      <w:r w:rsidRPr="002F09DD">
        <w:rPr>
          <w:rFonts w:cs="Arial"/>
          <w:szCs w:val="22"/>
        </w:rPr>
        <w:t xml:space="preserve">eur, </w:t>
      </w:r>
      <w:r w:rsidR="007414F7" w:rsidRPr="002F09DD">
        <w:rPr>
          <w:rFonts w:cs="Arial"/>
          <w:szCs w:val="22"/>
        </w:rPr>
        <w:t>na obveze za subvencije 255,63eur,</w:t>
      </w:r>
      <w:r w:rsidRPr="002F09DD">
        <w:rPr>
          <w:rFonts w:cs="Arial"/>
          <w:szCs w:val="22"/>
        </w:rPr>
        <w:t xml:space="preserve"> na obveze za naknade građanima i kućanstvima </w:t>
      </w:r>
      <w:r w:rsidR="007414F7" w:rsidRPr="002F09DD">
        <w:rPr>
          <w:rFonts w:cs="Arial"/>
          <w:szCs w:val="22"/>
        </w:rPr>
        <w:t>672,00</w:t>
      </w:r>
      <w:r w:rsidRPr="002F09DD">
        <w:rPr>
          <w:rFonts w:cs="Arial"/>
          <w:szCs w:val="22"/>
        </w:rPr>
        <w:t xml:space="preserve">eur. Dospjele obveze Istarske županije rezultat su usklađenja evidencija s vanjskim dobavljačima i redovnog poslovanja. </w:t>
      </w:r>
    </w:p>
    <w:p w:rsidR="002F09DD" w:rsidRPr="002F09DD" w:rsidRDefault="002F09DD" w:rsidP="008B3AA1">
      <w:pPr>
        <w:rPr>
          <w:rFonts w:cs="Arial"/>
          <w:szCs w:val="22"/>
        </w:rPr>
      </w:pPr>
    </w:p>
    <w:p w:rsidR="008B3AA1" w:rsidRPr="002F09DD" w:rsidRDefault="008B3AA1" w:rsidP="008B3AA1">
      <w:pPr>
        <w:rPr>
          <w:rFonts w:cs="Arial"/>
          <w:szCs w:val="22"/>
        </w:rPr>
      </w:pPr>
      <w:r w:rsidRPr="002F09DD">
        <w:rPr>
          <w:rFonts w:cs="Arial"/>
          <w:szCs w:val="22"/>
        </w:rPr>
        <w:t xml:space="preserve">Dospjeli rashodi poslovanja Vijeća nacionalnih manjina i zajednica iznose </w:t>
      </w:r>
      <w:r w:rsidR="007414F7" w:rsidRPr="002F09DD">
        <w:rPr>
          <w:rFonts w:cs="Arial"/>
          <w:szCs w:val="22"/>
        </w:rPr>
        <w:t>1.131,89</w:t>
      </w:r>
      <w:r w:rsidRPr="002F09DD">
        <w:rPr>
          <w:rFonts w:cs="Arial"/>
          <w:szCs w:val="22"/>
        </w:rPr>
        <w:t xml:space="preserve">eur, od čega se </w:t>
      </w:r>
      <w:r w:rsidR="007414F7" w:rsidRPr="002F09DD">
        <w:rPr>
          <w:rFonts w:cs="Arial"/>
          <w:szCs w:val="22"/>
        </w:rPr>
        <w:t>na međusobne obveze subjekata općeg proračuna odnosi 270,77eur, 843,95</w:t>
      </w:r>
      <w:r w:rsidRPr="002F09DD">
        <w:rPr>
          <w:rFonts w:cs="Arial"/>
          <w:szCs w:val="22"/>
        </w:rPr>
        <w:t xml:space="preserve">eur, odnosi na obveze za </w:t>
      </w:r>
      <w:r w:rsidR="007414F7" w:rsidRPr="002F09DD">
        <w:rPr>
          <w:rFonts w:cs="Arial"/>
          <w:szCs w:val="22"/>
        </w:rPr>
        <w:t xml:space="preserve">materijalne rashode, </w:t>
      </w:r>
      <w:r w:rsidR="004D5D36" w:rsidRPr="002F09DD">
        <w:rPr>
          <w:rFonts w:cs="Arial"/>
          <w:szCs w:val="22"/>
        </w:rPr>
        <w:t xml:space="preserve">a </w:t>
      </w:r>
      <w:r w:rsidRPr="002F09DD">
        <w:rPr>
          <w:rFonts w:cs="Arial"/>
          <w:szCs w:val="22"/>
        </w:rPr>
        <w:t>na naknade građanima i kućanstvima otpada 17,17eura</w:t>
      </w:r>
      <w:r w:rsidR="004D5D36" w:rsidRPr="002F09DD">
        <w:rPr>
          <w:rFonts w:cs="Arial"/>
          <w:szCs w:val="22"/>
        </w:rPr>
        <w:t>.</w:t>
      </w:r>
      <w:r w:rsidRPr="002F09DD">
        <w:rPr>
          <w:rFonts w:cs="Arial"/>
          <w:szCs w:val="22"/>
        </w:rPr>
        <w:t xml:space="preserve"> </w:t>
      </w:r>
    </w:p>
    <w:p w:rsidR="004D5D36" w:rsidRPr="002F09DD" w:rsidRDefault="004D5D36" w:rsidP="008B3AA1">
      <w:pPr>
        <w:rPr>
          <w:rFonts w:cs="Arial"/>
          <w:szCs w:val="22"/>
        </w:rPr>
      </w:pPr>
    </w:p>
    <w:p w:rsidR="008B3AA1" w:rsidRPr="002F09DD" w:rsidRDefault="008B3AA1" w:rsidP="008B3AA1">
      <w:pPr>
        <w:rPr>
          <w:rFonts w:cs="Arial"/>
          <w:szCs w:val="22"/>
        </w:rPr>
      </w:pPr>
      <w:r w:rsidRPr="002F09DD">
        <w:rPr>
          <w:rFonts w:cs="Arial"/>
          <w:szCs w:val="22"/>
        </w:rPr>
        <w:t>Stanje nedospjelih obveza na dan 3</w:t>
      </w:r>
      <w:r w:rsidR="004D5D36" w:rsidRPr="002F09DD">
        <w:rPr>
          <w:rFonts w:cs="Arial"/>
          <w:szCs w:val="22"/>
        </w:rPr>
        <w:t>1</w:t>
      </w:r>
      <w:r w:rsidRPr="002F09DD">
        <w:rPr>
          <w:rFonts w:cs="Arial"/>
          <w:szCs w:val="22"/>
        </w:rPr>
        <w:t>.</w:t>
      </w:r>
      <w:r w:rsidR="004D5D36" w:rsidRPr="002F09DD">
        <w:rPr>
          <w:rFonts w:cs="Arial"/>
          <w:szCs w:val="22"/>
        </w:rPr>
        <w:t>12</w:t>
      </w:r>
      <w:r w:rsidRPr="002F09DD">
        <w:rPr>
          <w:rFonts w:cs="Arial"/>
          <w:szCs w:val="22"/>
        </w:rPr>
        <w:t xml:space="preserve">.2023.g. iznosi </w:t>
      </w:r>
      <w:r w:rsidR="004D5D36" w:rsidRPr="002F09DD">
        <w:rPr>
          <w:rFonts w:cs="Arial"/>
          <w:szCs w:val="22"/>
        </w:rPr>
        <w:t>19.636.447,05</w:t>
      </w:r>
      <w:r w:rsidRPr="002F09DD">
        <w:rPr>
          <w:rFonts w:cs="Arial"/>
          <w:szCs w:val="22"/>
        </w:rPr>
        <w:t xml:space="preserve">eur (V009) </w:t>
      </w:r>
      <w:r w:rsidR="004D5D36" w:rsidRPr="002F09DD">
        <w:rPr>
          <w:rFonts w:cs="Arial"/>
          <w:szCs w:val="22"/>
        </w:rPr>
        <w:t xml:space="preserve">i u potpunosti se </w:t>
      </w:r>
      <w:r w:rsidRPr="002F09DD">
        <w:rPr>
          <w:rFonts w:cs="Arial"/>
          <w:szCs w:val="22"/>
        </w:rPr>
        <w:t>odnos</w:t>
      </w:r>
      <w:r w:rsidR="004D5D36" w:rsidRPr="002F09DD">
        <w:rPr>
          <w:rFonts w:cs="Arial"/>
          <w:szCs w:val="22"/>
        </w:rPr>
        <w:t>e</w:t>
      </w:r>
      <w:r w:rsidRPr="002F09DD">
        <w:rPr>
          <w:rFonts w:cs="Arial"/>
          <w:szCs w:val="22"/>
        </w:rPr>
        <w:t xml:space="preserve"> na Istarsku županiju. </w:t>
      </w:r>
    </w:p>
    <w:p w:rsidR="008B3AA1" w:rsidRPr="002F09DD" w:rsidRDefault="008B3AA1" w:rsidP="008B3AA1">
      <w:pPr>
        <w:rPr>
          <w:rFonts w:cs="Arial"/>
          <w:szCs w:val="22"/>
        </w:rPr>
      </w:pPr>
    </w:p>
    <w:p w:rsidR="00340D6C" w:rsidRPr="00340D6C" w:rsidRDefault="008B3AA1" w:rsidP="00340D6C">
      <w:pPr>
        <w:rPr>
          <w:rFonts w:cs="Arial"/>
          <w:szCs w:val="22"/>
        </w:rPr>
      </w:pPr>
      <w:r w:rsidRPr="002F09DD">
        <w:rPr>
          <w:rFonts w:cs="Arial"/>
          <w:szCs w:val="22"/>
        </w:rPr>
        <w:t xml:space="preserve">Nedospjele obveze za rashode poslovanja iznose </w:t>
      </w:r>
      <w:r w:rsidR="006F5AE9" w:rsidRPr="002F09DD">
        <w:rPr>
          <w:rFonts w:cs="Arial"/>
          <w:szCs w:val="22"/>
        </w:rPr>
        <w:t>3.173.100,77</w:t>
      </w:r>
      <w:r w:rsidRPr="002F09DD">
        <w:rPr>
          <w:rFonts w:cs="Arial"/>
          <w:szCs w:val="22"/>
        </w:rPr>
        <w:t xml:space="preserve">eur (ND23) a odnose se na: obveze za plaću zaposlenika Istarske županije za mjesec </w:t>
      </w:r>
      <w:r w:rsidR="006F5AE9" w:rsidRPr="002F09DD">
        <w:rPr>
          <w:rFonts w:cs="Arial"/>
          <w:szCs w:val="22"/>
        </w:rPr>
        <w:t>prosinac</w:t>
      </w:r>
      <w:r w:rsidRPr="002F09DD">
        <w:rPr>
          <w:rFonts w:cs="Arial"/>
          <w:szCs w:val="22"/>
        </w:rPr>
        <w:t xml:space="preserve"> 2023.g. u ukupnom iznosu od </w:t>
      </w:r>
      <w:r w:rsidR="006F5AE9" w:rsidRPr="002F09DD">
        <w:rPr>
          <w:rFonts w:cs="Arial"/>
          <w:szCs w:val="22"/>
        </w:rPr>
        <w:t>762.880,46</w:t>
      </w:r>
      <w:r w:rsidRPr="002F09DD">
        <w:rPr>
          <w:rFonts w:cs="Arial"/>
          <w:szCs w:val="22"/>
        </w:rPr>
        <w:t xml:space="preserve">eur, obveze za prijevoz zaposlenika u iznosu od </w:t>
      </w:r>
      <w:r w:rsidR="006F5AE9" w:rsidRPr="002F09DD">
        <w:rPr>
          <w:rFonts w:cs="Arial"/>
          <w:szCs w:val="22"/>
        </w:rPr>
        <w:t>18</w:t>
      </w:r>
      <w:r w:rsidRPr="002F09DD">
        <w:rPr>
          <w:rFonts w:cs="Arial"/>
          <w:szCs w:val="22"/>
        </w:rPr>
        <w:t>.</w:t>
      </w:r>
      <w:r w:rsidR="006F5AE9" w:rsidRPr="002F09DD">
        <w:rPr>
          <w:rFonts w:cs="Arial"/>
          <w:szCs w:val="22"/>
        </w:rPr>
        <w:t>066,32</w:t>
      </w:r>
      <w:r w:rsidRPr="002F09DD">
        <w:rPr>
          <w:rFonts w:cs="Arial"/>
          <w:szCs w:val="22"/>
        </w:rPr>
        <w:t xml:space="preserve">eur, </w:t>
      </w:r>
      <w:r w:rsidR="006F5AE9" w:rsidRPr="002F09DD">
        <w:rPr>
          <w:rFonts w:cs="Arial"/>
          <w:szCs w:val="22"/>
        </w:rPr>
        <w:t>obaveze za autorske honorare u iznosu od 6.182,86eur, ugovore o djelu u iznosu od 1.293,82</w:t>
      </w:r>
      <w:r w:rsidR="003203C8">
        <w:rPr>
          <w:rFonts w:cs="Arial"/>
          <w:szCs w:val="22"/>
        </w:rPr>
        <w:t>eur</w:t>
      </w:r>
      <w:r w:rsidR="006F5AE9" w:rsidRPr="002F09DD">
        <w:rPr>
          <w:rFonts w:cs="Arial"/>
          <w:szCs w:val="22"/>
        </w:rPr>
        <w:t xml:space="preserve">, obaveze za obavljena </w:t>
      </w:r>
      <w:proofErr w:type="spellStart"/>
      <w:r w:rsidR="006F5AE9" w:rsidRPr="002F09DD">
        <w:rPr>
          <w:rFonts w:cs="Arial"/>
          <w:szCs w:val="22"/>
        </w:rPr>
        <w:t>mrtvozorstva</w:t>
      </w:r>
      <w:proofErr w:type="spellEnd"/>
      <w:r w:rsidR="006F5AE9" w:rsidRPr="002F09DD">
        <w:rPr>
          <w:rFonts w:cs="Arial"/>
          <w:szCs w:val="22"/>
        </w:rPr>
        <w:t xml:space="preserve"> 10.741,74eur, obaveze za naknade povjerenstva u iznosu od 15.722,95eur, </w:t>
      </w:r>
      <w:r w:rsidR="00340D6C">
        <w:rPr>
          <w:rFonts w:cs="Arial"/>
          <w:szCs w:val="22"/>
        </w:rPr>
        <w:t xml:space="preserve">obveze za </w:t>
      </w:r>
      <w:r w:rsidR="00340D6C" w:rsidRPr="00340D6C">
        <w:rPr>
          <w:rFonts w:cs="Arial"/>
          <w:szCs w:val="22"/>
        </w:rPr>
        <w:t>naplaćene tuđe prihode –jamstva Ob Pula u iznosu od 947,13eur,</w:t>
      </w:r>
    </w:p>
    <w:p w:rsidR="001E1E3B" w:rsidRPr="002F09DD" w:rsidRDefault="008B3AA1" w:rsidP="008B3AA1">
      <w:pPr>
        <w:rPr>
          <w:rFonts w:cs="Arial"/>
          <w:szCs w:val="22"/>
        </w:rPr>
      </w:pPr>
      <w:r w:rsidRPr="002F09DD">
        <w:rPr>
          <w:rFonts w:cs="Arial"/>
          <w:szCs w:val="22"/>
        </w:rPr>
        <w:t xml:space="preserve">obveze za naknadu kamate koja se odnosi na kredit sufinanciranja izgradnje ŽCGO </w:t>
      </w:r>
      <w:proofErr w:type="spellStart"/>
      <w:r w:rsidRPr="002F09DD">
        <w:rPr>
          <w:rFonts w:cs="Arial"/>
          <w:szCs w:val="22"/>
        </w:rPr>
        <w:t>Kaštijun</w:t>
      </w:r>
      <w:proofErr w:type="spellEnd"/>
      <w:r w:rsidRPr="002F09DD">
        <w:rPr>
          <w:rFonts w:cs="Arial"/>
          <w:szCs w:val="22"/>
        </w:rPr>
        <w:t xml:space="preserve"> u iznosu od </w:t>
      </w:r>
      <w:r w:rsidR="006F5AE9" w:rsidRPr="002F09DD">
        <w:rPr>
          <w:rFonts w:cs="Arial"/>
          <w:szCs w:val="22"/>
        </w:rPr>
        <w:t>476.089,05</w:t>
      </w:r>
      <w:r w:rsidRPr="002F09DD">
        <w:rPr>
          <w:rFonts w:cs="Arial"/>
          <w:szCs w:val="22"/>
        </w:rPr>
        <w:t xml:space="preserve">eur. </w:t>
      </w:r>
    </w:p>
    <w:p w:rsidR="003203C8" w:rsidRDefault="008B3AA1" w:rsidP="008B3AA1">
      <w:pPr>
        <w:rPr>
          <w:rFonts w:cs="Arial"/>
          <w:szCs w:val="22"/>
        </w:rPr>
      </w:pPr>
      <w:r w:rsidRPr="002F09DD">
        <w:rPr>
          <w:rFonts w:cs="Arial"/>
          <w:szCs w:val="22"/>
        </w:rPr>
        <w:lastRenderedPageBreak/>
        <w:t xml:space="preserve">Od ostalih nedospjelih tekućih obaveza iskazane su obveze prema dobavljačima u iznosu od </w:t>
      </w:r>
      <w:r w:rsidR="006F5AE9" w:rsidRPr="002F09DD">
        <w:rPr>
          <w:rFonts w:cs="Arial"/>
          <w:szCs w:val="22"/>
        </w:rPr>
        <w:t>697.935,18</w:t>
      </w:r>
      <w:r w:rsidRPr="002F09DD">
        <w:rPr>
          <w:rFonts w:cs="Arial"/>
          <w:szCs w:val="22"/>
        </w:rPr>
        <w:t xml:space="preserve">eur, obveze za depozite u iznosu od </w:t>
      </w:r>
      <w:r w:rsidR="006F5AE9" w:rsidRPr="002F09DD">
        <w:rPr>
          <w:rFonts w:cs="Arial"/>
          <w:szCs w:val="22"/>
        </w:rPr>
        <w:t>650.965,11</w:t>
      </w:r>
      <w:r w:rsidRPr="002F09DD">
        <w:rPr>
          <w:rFonts w:cs="Arial"/>
          <w:szCs w:val="22"/>
        </w:rPr>
        <w:t xml:space="preserve">eur, obveze za jamstveni fond 514.553,06eur, obveze za uplaćena jamstva u iznosu od </w:t>
      </w:r>
      <w:r w:rsidR="006F5AE9" w:rsidRPr="002F09DD">
        <w:rPr>
          <w:rFonts w:cs="Arial"/>
          <w:szCs w:val="22"/>
        </w:rPr>
        <w:t>3.295,04</w:t>
      </w:r>
      <w:r w:rsidRPr="002F09DD">
        <w:rPr>
          <w:rFonts w:cs="Arial"/>
          <w:szCs w:val="22"/>
        </w:rPr>
        <w:t xml:space="preserve">eur, obveze za naplaćene tuđe prihode u iznosu od </w:t>
      </w:r>
      <w:r w:rsidR="006F5AE9" w:rsidRPr="002F09DD">
        <w:rPr>
          <w:rFonts w:cs="Arial"/>
          <w:szCs w:val="22"/>
        </w:rPr>
        <w:t>13.278,82</w:t>
      </w:r>
      <w:r w:rsidRPr="002F09DD">
        <w:rPr>
          <w:rFonts w:cs="Arial"/>
          <w:szCs w:val="22"/>
        </w:rPr>
        <w:t xml:space="preserve">eur, </w:t>
      </w:r>
      <w:r w:rsidR="006F5AE9" w:rsidRPr="002F09DD">
        <w:rPr>
          <w:rFonts w:cs="Arial"/>
          <w:szCs w:val="22"/>
        </w:rPr>
        <w:t>obaveze za PDV 1.149,05eur</w:t>
      </w:r>
      <w:r w:rsidR="003203C8">
        <w:rPr>
          <w:rFonts w:cs="Arial"/>
          <w:szCs w:val="22"/>
        </w:rPr>
        <w:t>.</w:t>
      </w:r>
    </w:p>
    <w:p w:rsidR="008B3AA1" w:rsidRPr="002F09DD" w:rsidRDefault="003203C8" w:rsidP="008B3AA1">
      <w:pPr>
        <w:rPr>
          <w:rFonts w:cs="Arial"/>
          <w:szCs w:val="22"/>
        </w:rPr>
      </w:pPr>
      <w:r>
        <w:rPr>
          <w:rFonts w:cs="Arial"/>
          <w:szCs w:val="22"/>
        </w:rPr>
        <w:t>M</w:t>
      </w:r>
      <w:r w:rsidR="008B3AA1" w:rsidRPr="002F09DD">
        <w:rPr>
          <w:rFonts w:cs="Arial"/>
          <w:szCs w:val="22"/>
        </w:rPr>
        <w:t xml:space="preserve">eđuproračunske obveze </w:t>
      </w:r>
      <w:r>
        <w:rPr>
          <w:rFonts w:cs="Arial"/>
          <w:szCs w:val="22"/>
        </w:rPr>
        <w:t>koje su nedospjele na dan 31.12.2023</w:t>
      </w:r>
      <w:r w:rsidR="008B3AA1" w:rsidRPr="002F09DD">
        <w:rPr>
          <w:rFonts w:cs="Arial"/>
          <w:szCs w:val="22"/>
        </w:rPr>
        <w:t xml:space="preserve"> iznos</w:t>
      </w:r>
      <w:r>
        <w:rPr>
          <w:rFonts w:cs="Arial"/>
          <w:szCs w:val="22"/>
        </w:rPr>
        <w:t xml:space="preserve">e </w:t>
      </w:r>
      <w:r w:rsidR="008B3AA1" w:rsidRPr="002F09DD">
        <w:rPr>
          <w:rFonts w:cs="Arial"/>
          <w:szCs w:val="22"/>
        </w:rPr>
        <w:t>1</w:t>
      </w:r>
      <w:r w:rsidR="00340D6C">
        <w:rPr>
          <w:rFonts w:cs="Arial"/>
          <w:szCs w:val="22"/>
        </w:rPr>
        <w:t>56</w:t>
      </w:r>
      <w:r w:rsidR="008B3AA1" w:rsidRPr="002F09DD">
        <w:rPr>
          <w:rFonts w:cs="Arial"/>
          <w:szCs w:val="22"/>
        </w:rPr>
        <w:t>.</w:t>
      </w:r>
      <w:r w:rsidR="00340D6C">
        <w:rPr>
          <w:rFonts w:cs="Arial"/>
          <w:szCs w:val="22"/>
        </w:rPr>
        <w:t>116</w:t>
      </w:r>
      <w:r w:rsidR="008B3AA1" w:rsidRPr="002F09DD">
        <w:rPr>
          <w:rFonts w:cs="Arial"/>
          <w:szCs w:val="22"/>
        </w:rPr>
        <w:t>,6</w:t>
      </w:r>
      <w:r w:rsidR="00340D6C">
        <w:rPr>
          <w:rFonts w:cs="Arial"/>
          <w:szCs w:val="22"/>
        </w:rPr>
        <w:t>1</w:t>
      </w:r>
      <w:r w:rsidR="008B3AA1" w:rsidRPr="002F09DD">
        <w:rPr>
          <w:rFonts w:cs="Arial"/>
          <w:szCs w:val="22"/>
        </w:rPr>
        <w:t xml:space="preserve">eur (V010). </w:t>
      </w:r>
    </w:p>
    <w:p w:rsidR="008B3AA1" w:rsidRPr="002F09DD" w:rsidRDefault="008B3AA1" w:rsidP="008B3AA1">
      <w:pPr>
        <w:rPr>
          <w:rFonts w:cs="Arial"/>
          <w:szCs w:val="22"/>
        </w:rPr>
      </w:pPr>
    </w:p>
    <w:p w:rsidR="008B3AA1" w:rsidRDefault="008B3AA1" w:rsidP="008B3AA1">
      <w:pPr>
        <w:rPr>
          <w:rFonts w:ascii="Calibri" w:hAnsi="Calibri" w:cs="Calibri"/>
          <w:b/>
          <w:bCs/>
          <w:color w:val="000000"/>
          <w:szCs w:val="22"/>
          <w:lang w:eastAsia="hr-HR"/>
        </w:rPr>
      </w:pPr>
      <w:r w:rsidRPr="008673A6">
        <w:rPr>
          <w:rFonts w:ascii="Calibri" w:hAnsi="Calibri" w:cs="Calibri"/>
          <w:b/>
          <w:bCs/>
          <w:color w:val="000000"/>
          <w:szCs w:val="22"/>
          <w:lang w:eastAsia="hr-HR"/>
        </w:rPr>
        <w:t>Tablica: Struktura obveza za financijsku imovinu Istarske županije na dan 3</w:t>
      </w:r>
      <w:r w:rsidR="00A06BC1">
        <w:rPr>
          <w:rFonts w:ascii="Calibri" w:hAnsi="Calibri" w:cs="Calibri"/>
          <w:b/>
          <w:bCs/>
          <w:color w:val="000000"/>
          <w:szCs w:val="22"/>
          <w:lang w:eastAsia="hr-HR"/>
        </w:rPr>
        <w:t>1</w:t>
      </w:r>
      <w:r w:rsidRPr="008673A6">
        <w:rPr>
          <w:rFonts w:ascii="Calibri" w:hAnsi="Calibri" w:cs="Calibri"/>
          <w:b/>
          <w:bCs/>
          <w:color w:val="000000"/>
          <w:szCs w:val="22"/>
          <w:lang w:eastAsia="hr-HR"/>
        </w:rPr>
        <w:t>.</w:t>
      </w:r>
      <w:r w:rsidR="00A06BC1">
        <w:rPr>
          <w:rFonts w:ascii="Calibri" w:hAnsi="Calibri" w:cs="Calibri"/>
          <w:b/>
          <w:bCs/>
          <w:color w:val="000000"/>
          <w:szCs w:val="22"/>
          <w:lang w:eastAsia="hr-HR"/>
        </w:rPr>
        <w:t>12</w:t>
      </w:r>
      <w:r w:rsidRPr="008673A6">
        <w:rPr>
          <w:rFonts w:ascii="Calibri" w:hAnsi="Calibri" w:cs="Calibri"/>
          <w:b/>
          <w:bCs/>
          <w:color w:val="000000"/>
          <w:szCs w:val="22"/>
          <w:lang w:eastAsia="hr-HR"/>
        </w:rPr>
        <w:t>.2023.</w:t>
      </w:r>
    </w:p>
    <w:tbl>
      <w:tblPr>
        <w:tblW w:w="5000" w:type="pct"/>
        <w:tblLook w:val="04A0" w:firstRow="1" w:lastRow="0" w:firstColumn="1" w:lastColumn="0" w:noHBand="0" w:noVBand="1"/>
      </w:tblPr>
      <w:tblGrid>
        <w:gridCol w:w="787"/>
        <w:gridCol w:w="2416"/>
        <w:gridCol w:w="1338"/>
        <w:gridCol w:w="1238"/>
        <w:gridCol w:w="1338"/>
        <w:gridCol w:w="1890"/>
      </w:tblGrid>
      <w:tr w:rsidR="00741A28" w:rsidRPr="00A06BC1" w:rsidTr="001E1E3B">
        <w:trPr>
          <w:trHeight w:val="315"/>
        </w:trPr>
        <w:tc>
          <w:tcPr>
            <w:tcW w:w="437" w:type="pct"/>
            <w:tcBorders>
              <w:top w:val="single" w:sz="8" w:space="0" w:color="auto"/>
              <w:left w:val="single" w:sz="8" w:space="0" w:color="auto"/>
              <w:bottom w:val="single" w:sz="8" w:space="0" w:color="auto"/>
              <w:right w:val="single" w:sz="4" w:space="0" w:color="auto"/>
            </w:tcBorders>
            <w:shd w:val="clear" w:color="000000" w:fill="E7E6E6"/>
            <w:vAlign w:val="bottom"/>
            <w:hideMark/>
          </w:tcPr>
          <w:p w:rsidR="00A06BC1" w:rsidRPr="00A06BC1" w:rsidRDefault="00A06BC1" w:rsidP="00A06BC1">
            <w:pPr>
              <w:jc w:val="left"/>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RAČUN</w:t>
            </w:r>
          </w:p>
        </w:tc>
        <w:tc>
          <w:tcPr>
            <w:tcW w:w="1341" w:type="pct"/>
            <w:tcBorders>
              <w:top w:val="single" w:sz="8" w:space="0" w:color="auto"/>
              <w:left w:val="nil"/>
              <w:bottom w:val="single" w:sz="8" w:space="0" w:color="auto"/>
              <w:right w:val="single" w:sz="4" w:space="0" w:color="auto"/>
            </w:tcBorders>
            <w:shd w:val="clear" w:color="000000" w:fill="E7E6E6"/>
            <w:vAlign w:val="bottom"/>
            <w:hideMark/>
          </w:tcPr>
          <w:p w:rsidR="00A06BC1" w:rsidRPr="00A06BC1" w:rsidRDefault="00A06BC1" w:rsidP="00A06BC1">
            <w:pPr>
              <w:jc w:val="center"/>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OPIS</w:t>
            </w:r>
          </w:p>
        </w:tc>
        <w:tc>
          <w:tcPr>
            <w:tcW w:w="743" w:type="pct"/>
            <w:tcBorders>
              <w:top w:val="single" w:sz="8" w:space="0" w:color="auto"/>
              <w:left w:val="nil"/>
              <w:bottom w:val="single" w:sz="8" w:space="0" w:color="auto"/>
              <w:right w:val="single" w:sz="4" w:space="0" w:color="auto"/>
            </w:tcBorders>
            <w:shd w:val="clear" w:color="000000" w:fill="E7E6E6"/>
            <w:vAlign w:val="bottom"/>
            <w:hideMark/>
          </w:tcPr>
          <w:p w:rsidR="00A06BC1" w:rsidRPr="00A06BC1" w:rsidRDefault="00A06BC1" w:rsidP="00A06BC1">
            <w:pPr>
              <w:jc w:val="right"/>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01.01.2023.</w:t>
            </w:r>
          </w:p>
        </w:tc>
        <w:tc>
          <w:tcPr>
            <w:tcW w:w="687" w:type="pct"/>
            <w:tcBorders>
              <w:top w:val="single" w:sz="8" w:space="0" w:color="auto"/>
              <w:left w:val="nil"/>
              <w:bottom w:val="single" w:sz="8" w:space="0" w:color="auto"/>
              <w:right w:val="single" w:sz="4" w:space="0" w:color="auto"/>
            </w:tcBorders>
            <w:shd w:val="clear" w:color="000000" w:fill="E7E6E6"/>
            <w:vAlign w:val="bottom"/>
            <w:hideMark/>
          </w:tcPr>
          <w:p w:rsidR="00A06BC1" w:rsidRPr="00A06BC1" w:rsidRDefault="00A06BC1" w:rsidP="00A06BC1">
            <w:pPr>
              <w:jc w:val="center"/>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PROMJENA</w:t>
            </w:r>
          </w:p>
        </w:tc>
        <w:tc>
          <w:tcPr>
            <w:tcW w:w="743" w:type="pct"/>
            <w:tcBorders>
              <w:top w:val="single" w:sz="8" w:space="0" w:color="auto"/>
              <w:left w:val="nil"/>
              <w:bottom w:val="single" w:sz="8" w:space="0" w:color="auto"/>
              <w:right w:val="single" w:sz="4" w:space="0" w:color="auto"/>
            </w:tcBorders>
            <w:shd w:val="clear" w:color="000000" w:fill="E7E6E6"/>
            <w:vAlign w:val="bottom"/>
            <w:hideMark/>
          </w:tcPr>
          <w:p w:rsidR="00A06BC1" w:rsidRPr="00A06BC1" w:rsidRDefault="00A06BC1" w:rsidP="00A06BC1">
            <w:pPr>
              <w:jc w:val="right"/>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31.12.2023.</w:t>
            </w:r>
          </w:p>
        </w:tc>
        <w:tc>
          <w:tcPr>
            <w:tcW w:w="1050" w:type="pct"/>
            <w:tcBorders>
              <w:top w:val="single" w:sz="8" w:space="0" w:color="auto"/>
              <w:left w:val="nil"/>
              <w:bottom w:val="single" w:sz="8" w:space="0" w:color="auto"/>
              <w:right w:val="single" w:sz="8" w:space="0" w:color="auto"/>
            </w:tcBorders>
            <w:shd w:val="clear" w:color="000000" w:fill="E7E6E6"/>
            <w:vAlign w:val="bottom"/>
            <w:hideMark/>
          </w:tcPr>
          <w:p w:rsidR="00A06BC1" w:rsidRPr="00A06BC1" w:rsidRDefault="00A06BC1" w:rsidP="00A06BC1">
            <w:pPr>
              <w:jc w:val="center"/>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NAMJENA</w:t>
            </w:r>
          </w:p>
        </w:tc>
      </w:tr>
      <w:tr w:rsidR="00A06BC1" w:rsidRPr="00A06BC1" w:rsidTr="001E1E3B">
        <w:trPr>
          <w:trHeight w:val="1200"/>
        </w:trPr>
        <w:tc>
          <w:tcPr>
            <w:tcW w:w="437" w:type="pct"/>
            <w:tcBorders>
              <w:top w:val="nil"/>
              <w:left w:val="single" w:sz="8" w:space="0" w:color="auto"/>
              <w:bottom w:val="single" w:sz="4" w:space="0" w:color="auto"/>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26432</w:t>
            </w:r>
          </w:p>
        </w:tc>
        <w:tc>
          <w:tcPr>
            <w:tcW w:w="1341" w:type="pct"/>
            <w:tcBorders>
              <w:top w:val="nil"/>
              <w:left w:val="nil"/>
              <w:bottom w:val="single" w:sz="4" w:space="0" w:color="auto"/>
              <w:right w:val="single" w:sz="4" w:space="0" w:color="auto"/>
            </w:tcBorders>
            <w:shd w:val="clear" w:color="auto" w:fill="auto"/>
            <w:hideMark/>
          </w:tcPr>
          <w:p w:rsidR="00A06BC1" w:rsidRPr="00A06BC1" w:rsidRDefault="00A06BC1" w:rsidP="00A06BC1">
            <w:pPr>
              <w:jc w:val="left"/>
              <w:rPr>
                <w:rFonts w:ascii="Calibri" w:hAnsi="Calibri" w:cs="Calibri"/>
                <w:color w:val="000000"/>
                <w:sz w:val="18"/>
                <w:szCs w:val="18"/>
                <w:lang w:eastAsia="hr-HR"/>
              </w:rPr>
            </w:pPr>
            <w:r w:rsidRPr="00A06BC1">
              <w:rPr>
                <w:rFonts w:ascii="Calibri" w:hAnsi="Calibri" w:cs="Calibri"/>
                <w:color w:val="000000"/>
                <w:sz w:val="18"/>
                <w:szCs w:val="18"/>
                <w:lang w:eastAsia="hr-HR"/>
              </w:rPr>
              <w:t xml:space="preserve">Obveze za kredite od tuzemnih kreditnih institucija   izvan javnog sektora-dugoročne  </w:t>
            </w:r>
          </w:p>
        </w:tc>
        <w:tc>
          <w:tcPr>
            <w:tcW w:w="743" w:type="pct"/>
            <w:tcBorders>
              <w:top w:val="nil"/>
              <w:left w:val="nil"/>
              <w:bottom w:val="single" w:sz="4" w:space="0" w:color="auto"/>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1.748.491,29</w:t>
            </w:r>
          </w:p>
        </w:tc>
        <w:tc>
          <w:tcPr>
            <w:tcW w:w="687" w:type="pct"/>
            <w:tcBorders>
              <w:top w:val="nil"/>
              <w:left w:val="nil"/>
              <w:bottom w:val="single" w:sz="4" w:space="0" w:color="auto"/>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268.979,29</w:t>
            </w:r>
          </w:p>
        </w:tc>
        <w:tc>
          <w:tcPr>
            <w:tcW w:w="743" w:type="pct"/>
            <w:tcBorders>
              <w:top w:val="nil"/>
              <w:left w:val="nil"/>
              <w:bottom w:val="single" w:sz="4" w:space="0" w:color="auto"/>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1.479.512,00</w:t>
            </w:r>
          </w:p>
        </w:tc>
        <w:tc>
          <w:tcPr>
            <w:tcW w:w="1050" w:type="pct"/>
            <w:tcBorders>
              <w:top w:val="nil"/>
              <w:left w:val="nil"/>
              <w:bottom w:val="single" w:sz="4" w:space="0" w:color="auto"/>
              <w:right w:val="single" w:sz="8" w:space="0" w:color="auto"/>
            </w:tcBorders>
            <w:shd w:val="clear" w:color="auto" w:fill="auto"/>
            <w:hideMark/>
          </w:tcPr>
          <w:p w:rsidR="00A06BC1" w:rsidRPr="00A06BC1" w:rsidRDefault="00A06BC1" w:rsidP="00A06BC1">
            <w:pPr>
              <w:jc w:val="left"/>
              <w:rPr>
                <w:rFonts w:ascii="Calibri" w:hAnsi="Calibri" w:cs="Calibri"/>
                <w:color w:val="000000"/>
                <w:sz w:val="18"/>
                <w:szCs w:val="18"/>
                <w:lang w:eastAsia="hr-HR"/>
              </w:rPr>
            </w:pPr>
            <w:r w:rsidRPr="00A06BC1">
              <w:rPr>
                <w:rFonts w:ascii="Calibri" w:hAnsi="Calibri" w:cs="Calibri"/>
                <w:color w:val="000000"/>
                <w:sz w:val="18"/>
                <w:szCs w:val="18"/>
                <w:lang w:eastAsia="hr-HR"/>
              </w:rPr>
              <w:t>ZAGREBAČKA BANKA DD - ulaganja u domove za starije osobe</w:t>
            </w:r>
          </w:p>
        </w:tc>
      </w:tr>
      <w:tr w:rsidR="00A06BC1" w:rsidRPr="00A06BC1" w:rsidTr="001E1E3B">
        <w:trPr>
          <w:trHeight w:val="2400"/>
        </w:trPr>
        <w:tc>
          <w:tcPr>
            <w:tcW w:w="437" w:type="pct"/>
            <w:tcBorders>
              <w:top w:val="nil"/>
              <w:left w:val="single" w:sz="8" w:space="0" w:color="auto"/>
              <w:bottom w:val="nil"/>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264321</w:t>
            </w:r>
          </w:p>
        </w:tc>
        <w:tc>
          <w:tcPr>
            <w:tcW w:w="1341" w:type="pct"/>
            <w:tcBorders>
              <w:top w:val="nil"/>
              <w:left w:val="nil"/>
              <w:bottom w:val="nil"/>
              <w:right w:val="single" w:sz="4" w:space="0" w:color="auto"/>
            </w:tcBorders>
            <w:shd w:val="clear" w:color="auto" w:fill="auto"/>
            <w:hideMark/>
          </w:tcPr>
          <w:p w:rsidR="00A06BC1" w:rsidRPr="00A06BC1" w:rsidRDefault="00A06BC1" w:rsidP="00A06BC1">
            <w:pPr>
              <w:jc w:val="left"/>
              <w:rPr>
                <w:rFonts w:ascii="Calibri" w:hAnsi="Calibri" w:cs="Calibri"/>
                <w:color w:val="000000"/>
                <w:sz w:val="18"/>
                <w:szCs w:val="18"/>
                <w:lang w:eastAsia="hr-HR"/>
              </w:rPr>
            </w:pPr>
            <w:r w:rsidRPr="00A06BC1">
              <w:rPr>
                <w:rFonts w:ascii="Calibri" w:hAnsi="Calibri" w:cs="Calibri"/>
                <w:color w:val="000000"/>
                <w:sz w:val="18"/>
                <w:szCs w:val="18"/>
                <w:lang w:eastAsia="hr-HR"/>
              </w:rPr>
              <w:t>Obveze za kredite od tuzemnih kreditnih institucija   izvan javnog sektora-dugoročne  (PBZ)</w:t>
            </w:r>
          </w:p>
        </w:tc>
        <w:tc>
          <w:tcPr>
            <w:tcW w:w="743" w:type="pct"/>
            <w:tcBorders>
              <w:top w:val="nil"/>
              <w:left w:val="nil"/>
              <w:bottom w:val="nil"/>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8.051.850,38</w:t>
            </w:r>
          </w:p>
        </w:tc>
        <w:tc>
          <w:tcPr>
            <w:tcW w:w="687" w:type="pct"/>
            <w:tcBorders>
              <w:top w:val="nil"/>
              <w:left w:val="nil"/>
              <w:bottom w:val="single" w:sz="4" w:space="0" w:color="auto"/>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575.132,16</w:t>
            </w:r>
          </w:p>
        </w:tc>
        <w:tc>
          <w:tcPr>
            <w:tcW w:w="743" w:type="pct"/>
            <w:tcBorders>
              <w:top w:val="nil"/>
              <w:left w:val="nil"/>
              <w:bottom w:val="nil"/>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7.476.718,22</w:t>
            </w:r>
          </w:p>
        </w:tc>
        <w:tc>
          <w:tcPr>
            <w:tcW w:w="1050" w:type="pct"/>
            <w:tcBorders>
              <w:top w:val="nil"/>
              <w:left w:val="nil"/>
              <w:bottom w:val="nil"/>
              <w:right w:val="single" w:sz="8" w:space="0" w:color="auto"/>
            </w:tcBorders>
            <w:shd w:val="clear" w:color="auto" w:fill="auto"/>
            <w:hideMark/>
          </w:tcPr>
          <w:p w:rsidR="00A06BC1" w:rsidRPr="00A06BC1" w:rsidRDefault="00A06BC1" w:rsidP="00A06BC1">
            <w:pPr>
              <w:jc w:val="left"/>
              <w:rPr>
                <w:rFonts w:ascii="Calibri" w:hAnsi="Calibri" w:cs="Calibri"/>
                <w:color w:val="000000"/>
                <w:sz w:val="18"/>
                <w:szCs w:val="18"/>
                <w:lang w:eastAsia="hr-HR"/>
              </w:rPr>
            </w:pPr>
            <w:r w:rsidRPr="00A06BC1">
              <w:rPr>
                <w:rFonts w:ascii="Calibri" w:hAnsi="Calibri" w:cs="Calibri"/>
                <w:color w:val="000000"/>
                <w:sz w:val="18"/>
                <w:szCs w:val="18"/>
                <w:lang w:eastAsia="hr-HR"/>
              </w:rPr>
              <w:t>PRIVREDNA BANKA - ulaganja u objekte društvene infrastrukture (Medicinska škola, OŠ Mate Balota Buje, OŠ Petra Studenca Kanfanar)</w:t>
            </w:r>
          </w:p>
        </w:tc>
      </w:tr>
      <w:tr w:rsidR="00A06BC1" w:rsidRPr="00A06BC1" w:rsidTr="001E1E3B">
        <w:trPr>
          <w:trHeight w:val="1515"/>
        </w:trPr>
        <w:tc>
          <w:tcPr>
            <w:tcW w:w="437" w:type="pct"/>
            <w:tcBorders>
              <w:top w:val="single" w:sz="4" w:space="0" w:color="auto"/>
              <w:left w:val="single" w:sz="8" w:space="0" w:color="auto"/>
              <w:bottom w:val="nil"/>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264322</w:t>
            </w:r>
          </w:p>
        </w:tc>
        <w:tc>
          <w:tcPr>
            <w:tcW w:w="1341" w:type="pct"/>
            <w:tcBorders>
              <w:top w:val="single" w:sz="4" w:space="0" w:color="auto"/>
              <w:left w:val="nil"/>
              <w:bottom w:val="nil"/>
              <w:right w:val="single" w:sz="4" w:space="0" w:color="auto"/>
            </w:tcBorders>
            <w:shd w:val="clear" w:color="auto" w:fill="auto"/>
            <w:hideMark/>
          </w:tcPr>
          <w:p w:rsidR="00A06BC1" w:rsidRPr="00A06BC1" w:rsidRDefault="00A06BC1" w:rsidP="00A06BC1">
            <w:pPr>
              <w:jc w:val="left"/>
              <w:rPr>
                <w:rFonts w:ascii="Calibri" w:hAnsi="Calibri" w:cs="Calibri"/>
                <w:color w:val="000000"/>
                <w:sz w:val="18"/>
                <w:szCs w:val="18"/>
                <w:lang w:eastAsia="hr-HR"/>
              </w:rPr>
            </w:pPr>
            <w:r w:rsidRPr="00A06BC1">
              <w:rPr>
                <w:rFonts w:ascii="Calibri" w:hAnsi="Calibri" w:cs="Calibri"/>
                <w:color w:val="000000"/>
                <w:sz w:val="18"/>
                <w:szCs w:val="18"/>
                <w:lang w:eastAsia="hr-HR"/>
              </w:rPr>
              <w:t>Obveze za kredite od tuzemnih kreditnih institucija   izvan javnog sektora-DZSNO A. Štiglić</w:t>
            </w:r>
          </w:p>
        </w:tc>
        <w:tc>
          <w:tcPr>
            <w:tcW w:w="743" w:type="pct"/>
            <w:tcBorders>
              <w:top w:val="single" w:sz="4" w:space="0" w:color="auto"/>
              <w:left w:val="nil"/>
              <w:bottom w:val="nil"/>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0,00</w:t>
            </w:r>
          </w:p>
        </w:tc>
        <w:tc>
          <w:tcPr>
            <w:tcW w:w="687" w:type="pct"/>
            <w:tcBorders>
              <w:top w:val="nil"/>
              <w:left w:val="nil"/>
              <w:bottom w:val="single" w:sz="4" w:space="0" w:color="auto"/>
              <w:right w:val="single" w:sz="4" w:space="0" w:color="auto"/>
            </w:tcBorders>
            <w:shd w:val="clear" w:color="auto" w:fill="auto"/>
            <w:hideMark/>
          </w:tcPr>
          <w:p w:rsidR="00A06BC1" w:rsidRPr="00A06BC1" w:rsidRDefault="003203C8" w:rsidP="00A06BC1">
            <w:pPr>
              <w:jc w:val="right"/>
              <w:rPr>
                <w:rFonts w:ascii="Calibri" w:hAnsi="Calibri" w:cs="Calibri"/>
                <w:color w:val="000000"/>
                <w:sz w:val="18"/>
                <w:szCs w:val="18"/>
                <w:lang w:eastAsia="hr-HR"/>
              </w:rPr>
            </w:pPr>
            <w:r>
              <w:rPr>
                <w:rFonts w:ascii="Calibri" w:hAnsi="Calibri" w:cs="Calibri"/>
                <w:color w:val="000000"/>
                <w:sz w:val="18"/>
                <w:szCs w:val="18"/>
                <w:lang w:eastAsia="hr-HR"/>
              </w:rPr>
              <w:t>-</w:t>
            </w:r>
            <w:r w:rsidR="00A06BC1" w:rsidRPr="00A06BC1">
              <w:rPr>
                <w:rFonts w:ascii="Calibri" w:hAnsi="Calibri" w:cs="Calibri"/>
                <w:color w:val="000000"/>
                <w:sz w:val="18"/>
                <w:szCs w:val="18"/>
                <w:lang w:eastAsia="hr-HR"/>
              </w:rPr>
              <w:t>131.974,63</w:t>
            </w:r>
          </w:p>
        </w:tc>
        <w:tc>
          <w:tcPr>
            <w:tcW w:w="743" w:type="pct"/>
            <w:tcBorders>
              <w:top w:val="single" w:sz="4" w:space="0" w:color="auto"/>
              <w:left w:val="nil"/>
              <w:bottom w:val="nil"/>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131.974,63</w:t>
            </w:r>
          </w:p>
        </w:tc>
        <w:tc>
          <w:tcPr>
            <w:tcW w:w="1050" w:type="pct"/>
            <w:tcBorders>
              <w:top w:val="single" w:sz="4" w:space="0" w:color="auto"/>
              <w:left w:val="nil"/>
              <w:bottom w:val="nil"/>
              <w:right w:val="single" w:sz="8" w:space="0" w:color="auto"/>
            </w:tcBorders>
            <w:shd w:val="clear" w:color="auto" w:fill="auto"/>
            <w:hideMark/>
          </w:tcPr>
          <w:p w:rsidR="00A06BC1" w:rsidRPr="00A06BC1" w:rsidRDefault="00A06BC1" w:rsidP="00A06BC1">
            <w:pPr>
              <w:jc w:val="left"/>
              <w:rPr>
                <w:rFonts w:ascii="Calibri" w:hAnsi="Calibri" w:cs="Calibri"/>
                <w:color w:val="000000"/>
                <w:sz w:val="18"/>
                <w:szCs w:val="18"/>
                <w:lang w:eastAsia="hr-HR"/>
              </w:rPr>
            </w:pPr>
            <w:r w:rsidRPr="00A06BC1">
              <w:rPr>
                <w:rFonts w:ascii="Calibri" w:hAnsi="Calibri" w:cs="Calibri"/>
                <w:color w:val="000000"/>
                <w:sz w:val="18"/>
                <w:szCs w:val="18"/>
                <w:lang w:eastAsia="hr-HR"/>
              </w:rPr>
              <w:t xml:space="preserve">ERSTE BANK D.D. - ulaganja u dom za starije i nemoćne osobe </w:t>
            </w:r>
            <w:proofErr w:type="spellStart"/>
            <w:r w:rsidRPr="00A06BC1">
              <w:rPr>
                <w:rFonts w:ascii="Calibri" w:hAnsi="Calibri" w:cs="Calibri"/>
                <w:color w:val="000000"/>
                <w:sz w:val="18"/>
                <w:szCs w:val="18"/>
                <w:lang w:eastAsia="hr-HR"/>
              </w:rPr>
              <w:t>Alfredo</w:t>
            </w:r>
            <w:proofErr w:type="spellEnd"/>
            <w:r w:rsidRPr="00A06BC1">
              <w:rPr>
                <w:rFonts w:ascii="Calibri" w:hAnsi="Calibri" w:cs="Calibri"/>
                <w:color w:val="000000"/>
                <w:sz w:val="18"/>
                <w:szCs w:val="18"/>
                <w:lang w:eastAsia="hr-HR"/>
              </w:rPr>
              <w:t xml:space="preserve"> Štiglić Pula</w:t>
            </w:r>
          </w:p>
        </w:tc>
      </w:tr>
      <w:tr w:rsidR="00741A28" w:rsidRPr="00A06BC1" w:rsidTr="001E1E3B">
        <w:trPr>
          <w:trHeight w:val="315"/>
        </w:trPr>
        <w:tc>
          <w:tcPr>
            <w:tcW w:w="437" w:type="pct"/>
            <w:tcBorders>
              <w:top w:val="single" w:sz="8" w:space="0" w:color="auto"/>
              <w:left w:val="single" w:sz="8" w:space="0" w:color="auto"/>
              <w:bottom w:val="single" w:sz="8" w:space="0" w:color="auto"/>
              <w:right w:val="single" w:sz="4" w:space="0" w:color="auto"/>
            </w:tcBorders>
            <w:shd w:val="clear" w:color="000000" w:fill="E7E6E6"/>
            <w:vAlign w:val="bottom"/>
            <w:hideMark/>
          </w:tcPr>
          <w:p w:rsidR="00A06BC1" w:rsidRPr="00A06BC1" w:rsidRDefault="00A06BC1" w:rsidP="00A06BC1">
            <w:pPr>
              <w:jc w:val="right"/>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264</w:t>
            </w:r>
          </w:p>
        </w:tc>
        <w:tc>
          <w:tcPr>
            <w:tcW w:w="1341" w:type="pct"/>
            <w:tcBorders>
              <w:top w:val="single" w:sz="8" w:space="0" w:color="auto"/>
              <w:left w:val="nil"/>
              <w:bottom w:val="single" w:sz="8" w:space="0" w:color="auto"/>
              <w:right w:val="single" w:sz="4" w:space="0" w:color="auto"/>
            </w:tcBorders>
            <w:shd w:val="clear" w:color="000000" w:fill="E7E6E6"/>
            <w:vAlign w:val="bottom"/>
            <w:hideMark/>
          </w:tcPr>
          <w:p w:rsidR="00A06BC1" w:rsidRPr="00A06BC1" w:rsidRDefault="00A06BC1" w:rsidP="00A06BC1">
            <w:pPr>
              <w:jc w:val="center"/>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UKUPNO</w:t>
            </w:r>
          </w:p>
        </w:tc>
        <w:tc>
          <w:tcPr>
            <w:tcW w:w="743" w:type="pct"/>
            <w:tcBorders>
              <w:top w:val="single" w:sz="8" w:space="0" w:color="auto"/>
              <w:left w:val="nil"/>
              <w:bottom w:val="single" w:sz="8" w:space="0" w:color="auto"/>
              <w:right w:val="single" w:sz="4" w:space="0" w:color="auto"/>
            </w:tcBorders>
            <w:shd w:val="clear" w:color="000000" w:fill="E7E6E6"/>
            <w:vAlign w:val="bottom"/>
            <w:hideMark/>
          </w:tcPr>
          <w:p w:rsidR="00A06BC1" w:rsidRPr="00A06BC1" w:rsidRDefault="00A06BC1" w:rsidP="00A06BC1">
            <w:pPr>
              <w:jc w:val="right"/>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9.800.341,67</w:t>
            </w:r>
          </w:p>
        </w:tc>
        <w:tc>
          <w:tcPr>
            <w:tcW w:w="687" w:type="pct"/>
            <w:tcBorders>
              <w:top w:val="single" w:sz="8" w:space="0" w:color="auto"/>
              <w:left w:val="nil"/>
              <w:bottom w:val="single" w:sz="8" w:space="0" w:color="auto"/>
              <w:right w:val="single" w:sz="4" w:space="0" w:color="auto"/>
            </w:tcBorders>
            <w:shd w:val="clear" w:color="000000" w:fill="E7E6E6"/>
            <w:vAlign w:val="bottom"/>
            <w:hideMark/>
          </w:tcPr>
          <w:p w:rsidR="00A06BC1" w:rsidRPr="00A06BC1" w:rsidRDefault="00A06BC1" w:rsidP="00A06BC1">
            <w:pPr>
              <w:jc w:val="right"/>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712.136,82</w:t>
            </w:r>
          </w:p>
        </w:tc>
        <w:tc>
          <w:tcPr>
            <w:tcW w:w="743" w:type="pct"/>
            <w:tcBorders>
              <w:top w:val="single" w:sz="8" w:space="0" w:color="auto"/>
              <w:left w:val="nil"/>
              <w:bottom w:val="single" w:sz="8" w:space="0" w:color="auto"/>
              <w:right w:val="single" w:sz="4" w:space="0" w:color="auto"/>
            </w:tcBorders>
            <w:shd w:val="clear" w:color="000000" w:fill="E7E6E6"/>
            <w:vAlign w:val="bottom"/>
            <w:hideMark/>
          </w:tcPr>
          <w:p w:rsidR="00A06BC1" w:rsidRPr="00A06BC1" w:rsidRDefault="00A06BC1" w:rsidP="00A06BC1">
            <w:pPr>
              <w:jc w:val="right"/>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9.088.204,85</w:t>
            </w:r>
          </w:p>
        </w:tc>
        <w:tc>
          <w:tcPr>
            <w:tcW w:w="1050" w:type="pct"/>
            <w:tcBorders>
              <w:top w:val="single" w:sz="8" w:space="0" w:color="auto"/>
              <w:left w:val="nil"/>
              <w:bottom w:val="single" w:sz="8" w:space="0" w:color="auto"/>
              <w:right w:val="single" w:sz="8" w:space="0" w:color="auto"/>
            </w:tcBorders>
            <w:shd w:val="clear" w:color="000000" w:fill="E7E6E6"/>
            <w:vAlign w:val="bottom"/>
            <w:hideMark/>
          </w:tcPr>
          <w:p w:rsidR="00A06BC1" w:rsidRPr="00A06BC1" w:rsidRDefault="00A06BC1" w:rsidP="00A06BC1">
            <w:pPr>
              <w:jc w:val="left"/>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 </w:t>
            </w:r>
          </w:p>
        </w:tc>
      </w:tr>
      <w:tr w:rsidR="00A06BC1" w:rsidRPr="00A06BC1" w:rsidTr="001E1E3B">
        <w:trPr>
          <w:trHeight w:val="2400"/>
        </w:trPr>
        <w:tc>
          <w:tcPr>
            <w:tcW w:w="437" w:type="pct"/>
            <w:tcBorders>
              <w:top w:val="nil"/>
              <w:left w:val="single" w:sz="8" w:space="0" w:color="auto"/>
              <w:bottom w:val="single" w:sz="4" w:space="0" w:color="auto"/>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26711</w:t>
            </w:r>
          </w:p>
        </w:tc>
        <w:tc>
          <w:tcPr>
            <w:tcW w:w="1341" w:type="pct"/>
            <w:tcBorders>
              <w:top w:val="nil"/>
              <w:left w:val="nil"/>
              <w:bottom w:val="single" w:sz="4" w:space="0" w:color="auto"/>
              <w:right w:val="single" w:sz="4" w:space="0" w:color="auto"/>
            </w:tcBorders>
            <w:shd w:val="clear" w:color="auto" w:fill="auto"/>
            <w:hideMark/>
          </w:tcPr>
          <w:p w:rsidR="00A06BC1" w:rsidRPr="00A06BC1" w:rsidRDefault="00A06BC1" w:rsidP="00A06BC1">
            <w:pPr>
              <w:jc w:val="left"/>
              <w:rPr>
                <w:rFonts w:ascii="Calibri" w:hAnsi="Calibri" w:cs="Calibri"/>
                <w:color w:val="000000"/>
                <w:sz w:val="18"/>
                <w:szCs w:val="18"/>
                <w:lang w:eastAsia="hr-HR"/>
              </w:rPr>
            </w:pPr>
            <w:r w:rsidRPr="00A06BC1">
              <w:rPr>
                <w:rFonts w:ascii="Calibri" w:hAnsi="Calibri" w:cs="Calibri"/>
                <w:color w:val="000000"/>
                <w:sz w:val="18"/>
                <w:szCs w:val="18"/>
                <w:lang w:eastAsia="hr-HR"/>
              </w:rPr>
              <w:t>Obveze za zajmove od državnog proračuna-kratkoročne</w:t>
            </w:r>
          </w:p>
        </w:tc>
        <w:tc>
          <w:tcPr>
            <w:tcW w:w="743" w:type="pct"/>
            <w:tcBorders>
              <w:top w:val="nil"/>
              <w:left w:val="nil"/>
              <w:bottom w:val="single" w:sz="4" w:space="0" w:color="auto"/>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0,00</w:t>
            </w:r>
          </w:p>
        </w:tc>
        <w:tc>
          <w:tcPr>
            <w:tcW w:w="687" w:type="pct"/>
            <w:tcBorders>
              <w:top w:val="nil"/>
              <w:left w:val="nil"/>
              <w:bottom w:val="single" w:sz="4" w:space="0" w:color="auto"/>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35.486,99</w:t>
            </w:r>
          </w:p>
        </w:tc>
        <w:tc>
          <w:tcPr>
            <w:tcW w:w="743" w:type="pct"/>
            <w:tcBorders>
              <w:top w:val="nil"/>
              <w:left w:val="nil"/>
              <w:bottom w:val="single" w:sz="4" w:space="0" w:color="auto"/>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0,00</w:t>
            </w:r>
          </w:p>
        </w:tc>
        <w:tc>
          <w:tcPr>
            <w:tcW w:w="1050" w:type="pct"/>
            <w:tcBorders>
              <w:top w:val="nil"/>
              <w:left w:val="nil"/>
              <w:bottom w:val="single" w:sz="4" w:space="0" w:color="auto"/>
              <w:right w:val="single" w:sz="8" w:space="0" w:color="auto"/>
            </w:tcBorders>
            <w:shd w:val="clear" w:color="auto" w:fill="auto"/>
            <w:hideMark/>
          </w:tcPr>
          <w:p w:rsidR="00A06BC1" w:rsidRPr="00A06BC1" w:rsidRDefault="00A06BC1" w:rsidP="00A06BC1">
            <w:pPr>
              <w:jc w:val="left"/>
              <w:rPr>
                <w:rFonts w:ascii="Calibri" w:hAnsi="Calibri" w:cs="Calibri"/>
                <w:color w:val="000000"/>
                <w:sz w:val="18"/>
                <w:szCs w:val="18"/>
                <w:lang w:eastAsia="hr-HR"/>
              </w:rPr>
            </w:pPr>
            <w:r w:rsidRPr="00A06BC1">
              <w:rPr>
                <w:rFonts w:ascii="Calibri" w:hAnsi="Calibri" w:cs="Calibri"/>
                <w:color w:val="000000"/>
                <w:sz w:val="18"/>
                <w:szCs w:val="18"/>
                <w:lang w:eastAsia="hr-HR"/>
              </w:rPr>
              <w:t>Povrat duga po namirenju nedostajućih sredstava korištenih za povrat poreza na dohodak i prireza porezu na dohodak po godišnjoj prijavi za 2022. godinu </w:t>
            </w:r>
          </w:p>
        </w:tc>
      </w:tr>
      <w:tr w:rsidR="00A06BC1" w:rsidRPr="00A06BC1" w:rsidTr="001E1E3B">
        <w:trPr>
          <w:trHeight w:val="960"/>
        </w:trPr>
        <w:tc>
          <w:tcPr>
            <w:tcW w:w="437" w:type="pct"/>
            <w:tcBorders>
              <w:top w:val="nil"/>
              <w:left w:val="single" w:sz="8" w:space="0" w:color="auto"/>
              <w:bottom w:val="single" w:sz="4" w:space="0" w:color="auto"/>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26712</w:t>
            </w:r>
          </w:p>
        </w:tc>
        <w:tc>
          <w:tcPr>
            <w:tcW w:w="1341" w:type="pct"/>
            <w:tcBorders>
              <w:top w:val="nil"/>
              <w:left w:val="nil"/>
              <w:bottom w:val="single" w:sz="4" w:space="0" w:color="auto"/>
              <w:right w:val="single" w:sz="4" w:space="0" w:color="auto"/>
            </w:tcBorders>
            <w:shd w:val="clear" w:color="auto" w:fill="auto"/>
            <w:hideMark/>
          </w:tcPr>
          <w:p w:rsidR="00A06BC1" w:rsidRPr="00A06BC1" w:rsidRDefault="00A06BC1" w:rsidP="00A06BC1">
            <w:pPr>
              <w:jc w:val="left"/>
              <w:rPr>
                <w:rFonts w:ascii="Calibri" w:hAnsi="Calibri" w:cs="Calibri"/>
                <w:color w:val="000000"/>
                <w:sz w:val="18"/>
                <w:szCs w:val="18"/>
                <w:lang w:eastAsia="hr-HR"/>
              </w:rPr>
            </w:pPr>
            <w:r w:rsidRPr="00A06BC1">
              <w:rPr>
                <w:rFonts w:ascii="Calibri" w:hAnsi="Calibri" w:cs="Calibri"/>
                <w:color w:val="000000"/>
                <w:sz w:val="18"/>
                <w:szCs w:val="18"/>
                <w:lang w:eastAsia="hr-HR"/>
              </w:rPr>
              <w:t>Obveze za zajmove od državnog proračuna-dugoročne - EU IPA ISPA 2007-2011.</w:t>
            </w:r>
          </w:p>
        </w:tc>
        <w:tc>
          <w:tcPr>
            <w:tcW w:w="743" w:type="pct"/>
            <w:tcBorders>
              <w:top w:val="nil"/>
              <w:left w:val="nil"/>
              <w:bottom w:val="single" w:sz="4" w:space="0" w:color="auto"/>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7.185.172,85</w:t>
            </w:r>
          </w:p>
        </w:tc>
        <w:tc>
          <w:tcPr>
            <w:tcW w:w="687" w:type="pct"/>
            <w:tcBorders>
              <w:top w:val="nil"/>
              <w:left w:val="nil"/>
              <w:bottom w:val="single" w:sz="4" w:space="0" w:color="auto"/>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576.646,49</w:t>
            </w:r>
          </w:p>
        </w:tc>
        <w:tc>
          <w:tcPr>
            <w:tcW w:w="743" w:type="pct"/>
            <w:tcBorders>
              <w:top w:val="nil"/>
              <w:left w:val="nil"/>
              <w:bottom w:val="single" w:sz="4" w:space="0" w:color="auto"/>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6.608.526,36</w:t>
            </w:r>
          </w:p>
        </w:tc>
        <w:tc>
          <w:tcPr>
            <w:tcW w:w="1050" w:type="pct"/>
            <w:tcBorders>
              <w:top w:val="nil"/>
              <w:left w:val="nil"/>
              <w:bottom w:val="single" w:sz="4" w:space="0" w:color="auto"/>
              <w:right w:val="single" w:sz="8" w:space="0" w:color="auto"/>
            </w:tcBorders>
            <w:shd w:val="clear" w:color="auto" w:fill="auto"/>
            <w:hideMark/>
          </w:tcPr>
          <w:p w:rsidR="00A06BC1" w:rsidRPr="00A06BC1" w:rsidRDefault="00A06BC1" w:rsidP="00A06BC1">
            <w:pPr>
              <w:jc w:val="left"/>
              <w:rPr>
                <w:rFonts w:ascii="Calibri" w:hAnsi="Calibri" w:cs="Calibri"/>
                <w:color w:val="000000"/>
                <w:sz w:val="18"/>
                <w:szCs w:val="18"/>
                <w:lang w:eastAsia="hr-HR"/>
              </w:rPr>
            </w:pPr>
            <w:r w:rsidRPr="00A06BC1">
              <w:rPr>
                <w:rFonts w:ascii="Calibri" w:hAnsi="Calibri" w:cs="Calibri"/>
                <w:color w:val="000000"/>
                <w:sz w:val="18"/>
                <w:szCs w:val="18"/>
                <w:lang w:eastAsia="hr-HR"/>
              </w:rPr>
              <w:t xml:space="preserve">Otplata kredita za izgradnju ŽCGO </w:t>
            </w:r>
            <w:proofErr w:type="spellStart"/>
            <w:r w:rsidRPr="00A06BC1">
              <w:rPr>
                <w:rFonts w:ascii="Calibri" w:hAnsi="Calibri" w:cs="Calibri"/>
                <w:color w:val="000000"/>
                <w:sz w:val="18"/>
                <w:szCs w:val="18"/>
                <w:lang w:eastAsia="hr-HR"/>
              </w:rPr>
              <w:t>Kaštijun</w:t>
            </w:r>
            <w:proofErr w:type="spellEnd"/>
          </w:p>
        </w:tc>
      </w:tr>
      <w:tr w:rsidR="00A06BC1" w:rsidRPr="00A06BC1" w:rsidTr="001E1E3B">
        <w:trPr>
          <w:trHeight w:val="1215"/>
        </w:trPr>
        <w:tc>
          <w:tcPr>
            <w:tcW w:w="437" w:type="pct"/>
            <w:tcBorders>
              <w:top w:val="nil"/>
              <w:left w:val="single" w:sz="8" w:space="0" w:color="auto"/>
              <w:bottom w:val="nil"/>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267122</w:t>
            </w:r>
          </w:p>
        </w:tc>
        <w:tc>
          <w:tcPr>
            <w:tcW w:w="1341" w:type="pct"/>
            <w:tcBorders>
              <w:top w:val="nil"/>
              <w:left w:val="nil"/>
              <w:bottom w:val="nil"/>
              <w:right w:val="single" w:sz="4" w:space="0" w:color="auto"/>
            </w:tcBorders>
            <w:shd w:val="clear" w:color="auto" w:fill="auto"/>
            <w:hideMark/>
          </w:tcPr>
          <w:p w:rsidR="00A06BC1" w:rsidRPr="00A06BC1" w:rsidRDefault="00A06BC1" w:rsidP="00A06BC1">
            <w:pPr>
              <w:jc w:val="left"/>
              <w:rPr>
                <w:rFonts w:ascii="Calibri" w:hAnsi="Calibri" w:cs="Calibri"/>
                <w:color w:val="000000"/>
                <w:sz w:val="18"/>
                <w:szCs w:val="18"/>
                <w:lang w:eastAsia="hr-HR"/>
              </w:rPr>
            </w:pPr>
            <w:r w:rsidRPr="00A06BC1">
              <w:rPr>
                <w:rFonts w:ascii="Calibri" w:hAnsi="Calibri" w:cs="Calibri"/>
                <w:color w:val="000000"/>
                <w:sz w:val="18"/>
                <w:szCs w:val="18"/>
                <w:lang w:eastAsia="hr-HR"/>
              </w:rPr>
              <w:t>Obveze za zajmove od državnog proračuna-dugoročne -MINISTARSTVO POLJOP.I ŠUMARSTVA RH/2002</w:t>
            </w:r>
          </w:p>
        </w:tc>
        <w:tc>
          <w:tcPr>
            <w:tcW w:w="743" w:type="pct"/>
            <w:tcBorders>
              <w:top w:val="nil"/>
              <w:left w:val="nil"/>
              <w:bottom w:val="nil"/>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107.770,92</w:t>
            </w:r>
          </w:p>
        </w:tc>
        <w:tc>
          <w:tcPr>
            <w:tcW w:w="687" w:type="pct"/>
            <w:tcBorders>
              <w:top w:val="nil"/>
              <w:left w:val="nil"/>
              <w:bottom w:val="nil"/>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17.253,97</w:t>
            </w:r>
          </w:p>
        </w:tc>
        <w:tc>
          <w:tcPr>
            <w:tcW w:w="743" w:type="pct"/>
            <w:tcBorders>
              <w:top w:val="nil"/>
              <w:left w:val="nil"/>
              <w:bottom w:val="nil"/>
              <w:right w:val="single" w:sz="4" w:space="0" w:color="auto"/>
            </w:tcBorders>
            <w:shd w:val="clear" w:color="auto" w:fill="auto"/>
            <w:hideMark/>
          </w:tcPr>
          <w:p w:rsidR="00A06BC1" w:rsidRPr="00A06BC1" w:rsidRDefault="00A06BC1" w:rsidP="00A06BC1">
            <w:pPr>
              <w:jc w:val="right"/>
              <w:rPr>
                <w:rFonts w:ascii="Calibri" w:hAnsi="Calibri" w:cs="Calibri"/>
                <w:color w:val="000000"/>
                <w:sz w:val="18"/>
                <w:szCs w:val="18"/>
                <w:lang w:eastAsia="hr-HR"/>
              </w:rPr>
            </w:pPr>
            <w:r w:rsidRPr="00A06BC1">
              <w:rPr>
                <w:rFonts w:ascii="Calibri" w:hAnsi="Calibri" w:cs="Calibri"/>
                <w:color w:val="000000"/>
                <w:sz w:val="18"/>
                <w:szCs w:val="18"/>
                <w:lang w:eastAsia="hr-HR"/>
              </w:rPr>
              <w:t>90.516,95</w:t>
            </w:r>
          </w:p>
        </w:tc>
        <w:tc>
          <w:tcPr>
            <w:tcW w:w="1050" w:type="pct"/>
            <w:tcBorders>
              <w:top w:val="nil"/>
              <w:left w:val="nil"/>
              <w:bottom w:val="nil"/>
              <w:right w:val="single" w:sz="8" w:space="0" w:color="auto"/>
            </w:tcBorders>
            <w:shd w:val="clear" w:color="auto" w:fill="auto"/>
            <w:hideMark/>
          </w:tcPr>
          <w:p w:rsidR="00A06BC1" w:rsidRPr="00A06BC1" w:rsidRDefault="00A06BC1" w:rsidP="00A06BC1">
            <w:pPr>
              <w:jc w:val="left"/>
              <w:rPr>
                <w:rFonts w:ascii="Calibri" w:hAnsi="Calibri" w:cs="Calibri"/>
                <w:color w:val="000000"/>
                <w:sz w:val="18"/>
                <w:szCs w:val="18"/>
                <w:lang w:eastAsia="hr-HR"/>
              </w:rPr>
            </w:pPr>
            <w:r w:rsidRPr="00A06BC1">
              <w:rPr>
                <w:rFonts w:ascii="Calibri" w:hAnsi="Calibri" w:cs="Calibri"/>
                <w:color w:val="000000"/>
                <w:sz w:val="18"/>
                <w:szCs w:val="18"/>
                <w:lang w:eastAsia="hr-HR"/>
              </w:rPr>
              <w:t>Otplata kredita za program razvoja poljoprivrede</w:t>
            </w:r>
          </w:p>
        </w:tc>
      </w:tr>
      <w:tr w:rsidR="00741A28" w:rsidRPr="00A06BC1" w:rsidTr="001E1E3B">
        <w:trPr>
          <w:trHeight w:val="315"/>
        </w:trPr>
        <w:tc>
          <w:tcPr>
            <w:tcW w:w="437" w:type="pct"/>
            <w:tcBorders>
              <w:top w:val="single" w:sz="8" w:space="0" w:color="auto"/>
              <w:left w:val="single" w:sz="8" w:space="0" w:color="auto"/>
              <w:bottom w:val="single" w:sz="8" w:space="0" w:color="auto"/>
              <w:right w:val="single" w:sz="4" w:space="0" w:color="auto"/>
            </w:tcBorders>
            <w:shd w:val="clear" w:color="000000" w:fill="E7E6E6"/>
            <w:vAlign w:val="bottom"/>
            <w:hideMark/>
          </w:tcPr>
          <w:p w:rsidR="00A06BC1" w:rsidRPr="00A06BC1" w:rsidRDefault="00A06BC1" w:rsidP="00A06BC1">
            <w:pPr>
              <w:jc w:val="right"/>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267</w:t>
            </w:r>
          </w:p>
        </w:tc>
        <w:tc>
          <w:tcPr>
            <w:tcW w:w="1341" w:type="pct"/>
            <w:tcBorders>
              <w:top w:val="single" w:sz="8" w:space="0" w:color="auto"/>
              <w:left w:val="nil"/>
              <w:bottom w:val="single" w:sz="8" w:space="0" w:color="auto"/>
              <w:right w:val="single" w:sz="4" w:space="0" w:color="auto"/>
            </w:tcBorders>
            <w:shd w:val="clear" w:color="000000" w:fill="E7E6E6"/>
            <w:vAlign w:val="bottom"/>
            <w:hideMark/>
          </w:tcPr>
          <w:p w:rsidR="00A06BC1" w:rsidRPr="00A06BC1" w:rsidRDefault="00A06BC1" w:rsidP="00A06BC1">
            <w:pPr>
              <w:jc w:val="center"/>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UKUPNO</w:t>
            </w:r>
          </w:p>
        </w:tc>
        <w:tc>
          <w:tcPr>
            <w:tcW w:w="743" w:type="pct"/>
            <w:tcBorders>
              <w:top w:val="single" w:sz="8" w:space="0" w:color="auto"/>
              <w:left w:val="nil"/>
              <w:bottom w:val="single" w:sz="8" w:space="0" w:color="auto"/>
              <w:right w:val="single" w:sz="4" w:space="0" w:color="auto"/>
            </w:tcBorders>
            <w:shd w:val="clear" w:color="000000" w:fill="E7E6E6"/>
            <w:vAlign w:val="bottom"/>
            <w:hideMark/>
          </w:tcPr>
          <w:p w:rsidR="00A06BC1" w:rsidRPr="00A06BC1" w:rsidRDefault="00A06BC1" w:rsidP="00A06BC1">
            <w:pPr>
              <w:jc w:val="right"/>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7.292.943,77</w:t>
            </w:r>
          </w:p>
        </w:tc>
        <w:tc>
          <w:tcPr>
            <w:tcW w:w="687" w:type="pct"/>
            <w:tcBorders>
              <w:top w:val="single" w:sz="8" w:space="0" w:color="auto"/>
              <w:left w:val="nil"/>
              <w:bottom w:val="single" w:sz="8" w:space="0" w:color="auto"/>
              <w:right w:val="single" w:sz="4" w:space="0" w:color="auto"/>
            </w:tcBorders>
            <w:shd w:val="clear" w:color="000000" w:fill="E7E6E6"/>
            <w:vAlign w:val="bottom"/>
            <w:hideMark/>
          </w:tcPr>
          <w:p w:rsidR="00A06BC1" w:rsidRPr="00A06BC1" w:rsidRDefault="00A06BC1" w:rsidP="00A06BC1">
            <w:pPr>
              <w:jc w:val="right"/>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629.387,45</w:t>
            </w:r>
          </w:p>
        </w:tc>
        <w:tc>
          <w:tcPr>
            <w:tcW w:w="743" w:type="pct"/>
            <w:tcBorders>
              <w:top w:val="single" w:sz="8" w:space="0" w:color="auto"/>
              <w:left w:val="nil"/>
              <w:bottom w:val="single" w:sz="8" w:space="0" w:color="auto"/>
              <w:right w:val="single" w:sz="4" w:space="0" w:color="auto"/>
            </w:tcBorders>
            <w:shd w:val="clear" w:color="000000" w:fill="E7E6E6"/>
            <w:vAlign w:val="bottom"/>
            <w:hideMark/>
          </w:tcPr>
          <w:p w:rsidR="00A06BC1" w:rsidRPr="00A06BC1" w:rsidRDefault="00A06BC1" w:rsidP="00A06BC1">
            <w:pPr>
              <w:jc w:val="right"/>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6.699.043,31</w:t>
            </w:r>
          </w:p>
        </w:tc>
        <w:tc>
          <w:tcPr>
            <w:tcW w:w="1050" w:type="pct"/>
            <w:tcBorders>
              <w:top w:val="single" w:sz="8" w:space="0" w:color="auto"/>
              <w:left w:val="nil"/>
              <w:bottom w:val="single" w:sz="8" w:space="0" w:color="auto"/>
              <w:right w:val="single" w:sz="8" w:space="0" w:color="auto"/>
            </w:tcBorders>
            <w:shd w:val="clear" w:color="000000" w:fill="E7E6E6"/>
            <w:vAlign w:val="bottom"/>
            <w:hideMark/>
          </w:tcPr>
          <w:p w:rsidR="00A06BC1" w:rsidRPr="00A06BC1" w:rsidRDefault="00A06BC1" w:rsidP="00A06BC1">
            <w:pPr>
              <w:jc w:val="left"/>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 </w:t>
            </w:r>
          </w:p>
        </w:tc>
      </w:tr>
      <w:tr w:rsidR="00741A28" w:rsidRPr="00A06BC1" w:rsidTr="001E1E3B">
        <w:trPr>
          <w:trHeight w:val="315"/>
        </w:trPr>
        <w:tc>
          <w:tcPr>
            <w:tcW w:w="437" w:type="pct"/>
            <w:tcBorders>
              <w:top w:val="nil"/>
              <w:left w:val="single" w:sz="8" w:space="0" w:color="auto"/>
              <w:bottom w:val="single" w:sz="8" w:space="0" w:color="auto"/>
              <w:right w:val="single" w:sz="4" w:space="0" w:color="auto"/>
            </w:tcBorders>
            <w:shd w:val="clear" w:color="000000" w:fill="E7E6E6"/>
            <w:vAlign w:val="bottom"/>
            <w:hideMark/>
          </w:tcPr>
          <w:p w:rsidR="00A06BC1" w:rsidRPr="00A06BC1" w:rsidRDefault="00A06BC1" w:rsidP="00A06BC1">
            <w:pPr>
              <w:jc w:val="right"/>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26</w:t>
            </w:r>
          </w:p>
        </w:tc>
        <w:tc>
          <w:tcPr>
            <w:tcW w:w="1341" w:type="pct"/>
            <w:tcBorders>
              <w:top w:val="nil"/>
              <w:left w:val="nil"/>
              <w:bottom w:val="single" w:sz="8" w:space="0" w:color="auto"/>
              <w:right w:val="single" w:sz="4" w:space="0" w:color="auto"/>
            </w:tcBorders>
            <w:shd w:val="clear" w:color="000000" w:fill="E7E6E6"/>
            <w:vAlign w:val="bottom"/>
            <w:hideMark/>
          </w:tcPr>
          <w:p w:rsidR="00A06BC1" w:rsidRPr="00A06BC1" w:rsidRDefault="00A06BC1" w:rsidP="00A06BC1">
            <w:pPr>
              <w:jc w:val="center"/>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UKUPNO</w:t>
            </w:r>
          </w:p>
        </w:tc>
        <w:tc>
          <w:tcPr>
            <w:tcW w:w="743" w:type="pct"/>
            <w:tcBorders>
              <w:top w:val="nil"/>
              <w:left w:val="nil"/>
              <w:bottom w:val="single" w:sz="8" w:space="0" w:color="auto"/>
              <w:right w:val="single" w:sz="4" w:space="0" w:color="auto"/>
            </w:tcBorders>
            <w:shd w:val="clear" w:color="000000" w:fill="E7E6E6"/>
            <w:vAlign w:val="bottom"/>
            <w:hideMark/>
          </w:tcPr>
          <w:p w:rsidR="00A06BC1" w:rsidRPr="00A06BC1" w:rsidRDefault="00A06BC1" w:rsidP="00A06BC1">
            <w:pPr>
              <w:jc w:val="right"/>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17.093.285,44</w:t>
            </w:r>
          </w:p>
        </w:tc>
        <w:tc>
          <w:tcPr>
            <w:tcW w:w="687" w:type="pct"/>
            <w:tcBorders>
              <w:top w:val="nil"/>
              <w:left w:val="nil"/>
              <w:bottom w:val="single" w:sz="8" w:space="0" w:color="auto"/>
              <w:right w:val="single" w:sz="4" w:space="0" w:color="auto"/>
            </w:tcBorders>
            <w:shd w:val="clear" w:color="000000" w:fill="E7E6E6"/>
            <w:vAlign w:val="bottom"/>
            <w:hideMark/>
          </w:tcPr>
          <w:p w:rsidR="00A06BC1" w:rsidRPr="00A06BC1" w:rsidRDefault="00A06BC1" w:rsidP="00A06BC1">
            <w:pPr>
              <w:jc w:val="right"/>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1.341.524,27</w:t>
            </w:r>
          </w:p>
        </w:tc>
        <w:tc>
          <w:tcPr>
            <w:tcW w:w="743" w:type="pct"/>
            <w:tcBorders>
              <w:top w:val="nil"/>
              <w:left w:val="nil"/>
              <w:bottom w:val="single" w:sz="8" w:space="0" w:color="auto"/>
              <w:right w:val="single" w:sz="4" w:space="0" w:color="auto"/>
            </w:tcBorders>
            <w:shd w:val="clear" w:color="000000" w:fill="E7E6E6"/>
            <w:vAlign w:val="bottom"/>
            <w:hideMark/>
          </w:tcPr>
          <w:p w:rsidR="00A06BC1" w:rsidRPr="00A06BC1" w:rsidRDefault="00A06BC1" w:rsidP="00A06BC1">
            <w:pPr>
              <w:jc w:val="right"/>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15.787.248,16</w:t>
            </w:r>
          </w:p>
        </w:tc>
        <w:tc>
          <w:tcPr>
            <w:tcW w:w="1050" w:type="pct"/>
            <w:tcBorders>
              <w:top w:val="nil"/>
              <w:left w:val="nil"/>
              <w:bottom w:val="single" w:sz="8" w:space="0" w:color="auto"/>
              <w:right w:val="single" w:sz="8" w:space="0" w:color="auto"/>
            </w:tcBorders>
            <w:shd w:val="clear" w:color="000000" w:fill="E7E6E6"/>
            <w:vAlign w:val="bottom"/>
            <w:hideMark/>
          </w:tcPr>
          <w:p w:rsidR="00A06BC1" w:rsidRPr="00A06BC1" w:rsidRDefault="00A06BC1" w:rsidP="00A06BC1">
            <w:pPr>
              <w:jc w:val="left"/>
              <w:rPr>
                <w:rFonts w:ascii="Calibri" w:hAnsi="Calibri" w:cs="Calibri"/>
                <w:b/>
                <w:bCs/>
                <w:color w:val="000000"/>
                <w:sz w:val="18"/>
                <w:szCs w:val="18"/>
                <w:lang w:eastAsia="hr-HR"/>
              </w:rPr>
            </w:pPr>
            <w:r w:rsidRPr="00A06BC1">
              <w:rPr>
                <w:rFonts w:ascii="Calibri" w:hAnsi="Calibri" w:cs="Calibri"/>
                <w:b/>
                <w:bCs/>
                <w:color w:val="000000"/>
                <w:sz w:val="18"/>
                <w:szCs w:val="18"/>
                <w:lang w:eastAsia="hr-HR"/>
              </w:rPr>
              <w:t> </w:t>
            </w:r>
          </w:p>
        </w:tc>
      </w:tr>
    </w:tbl>
    <w:p w:rsidR="00A06BC1" w:rsidRDefault="00A06BC1" w:rsidP="008B3AA1">
      <w:pPr>
        <w:rPr>
          <w:rFonts w:ascii="Calibri" w:hAnsi="Calibri" w:cs="Calibri"/>
          <w:b/>
          <w:bCs/>
          <w:color w:val="000000"/>
          <w:szCs w:val="22"/>
          <w:lang w:eastAsia="hr-HR"/>
        </w:rPr>
      </w:pPr>
    </w:p>
    <w:p w:rsidR="008B3AA1" w:rsidRPr="000034E0" w:rsidRDefault="008B3AA1" w:rsidP="008B3AA1">
      <w:pPr>
        <w:autoSpaceDE w:val="0"/>
        <w:autoSpaceDN w:val="0"/>
        <w:adjustRightInd w:val="0"/>
        <w:rPr>
          <w:rFonts w:cs="Arial"/>
          <w:szCs w:val="22"/>
        </w:rPr>
      </w:pPr>
      <w:r w:rsidRPr="000034E0">
        <w:rPr>
          <w:rFonts w:cs="Arial"/>
          <w:szCs w:val="22"/>
        </w:rPr>
        <w:t xml:space="preserve">Nedospjele obveze za nabavu nefinancijske imovine (ND24) u ukupnom iznosu od </w:t>
      </w:r>
      <w:r w:rsidR="005F660D" w:rsidRPr="000034E0">
        <w:rPr>
          <w:rFonts w:cs="Arial"/>
          <w:szCs w:val="22"/>
        </w:rPr>
        <w:t>519.981,51</w:t>
      </w:r>
      <w:r w:rsidRPr="000034E0">
        <w:rPr>
          <w:rFonts w:cs="Arial"/>
          <w:szCs w:val="22"/>
        </w:rPr>
        <w:t xml:space="preserve">eur (ND24) odnose se na rekonstrukciju i dogradnju Centra za kompetentno </w:t>
      </w:r>
      <w:r w:rsidRPr="000034E0">
        <w:rPr>
          <w:rFonts w:cs="Arial"/>
          <w:szCs w:val="22"/>
        </w:rPr>
        <w:lastRenderedPageBreak/>
        <w:t xml:space="preserve">cjeloživotno razvijanje inovativnih znanja i vještina u sektoru ugostiteljstva i turizma u Puli i </w:t>
      </w:r>
      <w:r w:rsidR="005F660D" w:rsidRPr="000034E0">
        <w:rPr>
          <w:rFonts w:cs="Arial"/>
          <w:szCs w:val="22"/>
        </w:rPr>
        <w:t xml:space="preserve">na rekonstrukciju i dogradnju doma za starije i nemoćne osobe </w:t>
      </w:r>
      <w:proofErr w:type="spellStart"/>
      <w:r w:rsidR="005F660D" w:rsidRPr="000034E0">
        <w:rPr>
          <w:rFonts w:cs="Arial"/>
          <w:szCs w:val="22"/>
        </w:rPr>
        <w:t>Alfredo</w:t>
      </w:r>
      <w:proofErr w:type="spellEnd"/>
      <w:r w:rsidR="005F660D" w:rsidRPr="000034E0">
        <w:rPr>
          <w:rFonts w:cs="Arial"/>
          <w:szCs w:val="22"/>
        </w:rPr>
        <w:t xml:space="preserve"> Štiglić </w:t>
      </w:r>
      <w:r w:rsidRPr="000034E0">
        <w:rPr>
          <w:rFonts w:cs="Arial"/>
          <w:szCs w:val="22"/>
        </w:rPr>
        <w:t>te za nabavu opreme za redovno poslovanje upravnih tijela.</w:t>
      </w:r>
    </w:p>
    <w:p w:rsidR="008B3AA1" w:rsidRPr="000034E0" w:rsidRDefault="008B3AA1" w:rsidP="008B3AA1">
      <w:pPr>
        <w:autoSpaceDE w:val="0"/>
        <w:autoSpaceDN w:val="0"/>
        <w:adjustRightInd w:val="0"/>
        <w:rPr>
          <w:rFonts w:cs="Arial"/>
          <w:szCs w:val="22"/>
        </w:rPr>
      </w:pPr>
    </w:p>
    <w:p w:rsidR="008B3AA1" w:rsidRPr="000034E0" w:rsidRDefault="008B3AA1" w:rsidP="008B3AA1">
      <w:pPr>
        <w:autoSpaceDE w:val="0"/>
        <w:autoSpaceDN w:val="0"/>
        <w:adjustRightInd w:val="0"/>
        <w:rPr>
          <w:rFonts w:cs="Arial"/>
          <w:szCs w:val="22"/>
        </w:rPr>
      </w:pPr>
      <w:r w:rsidRPr="000034E0">
        <w:rPr>
          <w:rFonts w:cs="Arial"/>
          <w:szCs w:val="22"/>
        </w:rPr>
        <w:t xml:space="preserve">Ukupne nedospjele obaveze za financijsku imovinu (ND dio 25,26) iznose  </w:t>
      </w:r>
      <w:r w:rsidR="000034E0" w:rsidRPr="000034E0">
        <w:rPr>
          <w:rFonts w:cs="Arial"/>
          <w:szCs w:val="22"/>
        </w:rPr>
        <w:t>15.787.248,16</w:t>
      </w:r>
      <w:r w:rsidRPr="000034E0">
        <w:rPr>
          <w:rFonts w:cs="Arial"/>
          <w:szCs w:val="22"/>
        </w:rPr>
        <w:t>eur.</w:t>
      </w:r>
    </w:p>
    <w:p w:rsidR="008B3AA1" w:rsidRPr="000034E0" w:rsidRDefault="008B3AA1" w:rsidP="008B3AA1">
      <w:pPr>
        <w:autoSpaceDE w:val="0"/>
        <w:autoSpaceDN w:val="0"/>
        <w:adjustRightInd w:val="0"/>
        <w:rPr>
          <w:rFonts w:cs="Arial"/>
          <w:szCs w:val="22"/>
        </w:rPr>
      </w:pPr>
    </w:p>
    <w:p w:rsidR="008B3AA1" w:rsidRPr="000034E0" w:rsidRDefault="008B3AA1" w:rsidP="008B3AA1">
      <w:pPr>
        <w:autoSpaceDE w:val="0"/>
        <w:autoSpaceDN w:val="0"/>
        <w:adjustRightInd w:val="0"/>
        <w:rPr>
          <w:rFonts w:cs="Arial"/>
          <w:szCs w:val="22"/>
        </w:rPr>
      </w:pPr>
      <w:r w:rsidRPr="000034E0">
        <w:rPr>
          <w:rFonts w:cs="Arial"/>
          <w:szCs w:val="22"/>
        </w:rPr>
        <w:t xml:space="preserve">Nedospjele obveze odnose se na kredit Ministarstva financija  za projekt EU IPA ISPA 2007-2011 za </w:t>
      </w:r>
      <w:proofErr w:type="spellStart"/>
      <w:r w:rsidRPr="000034E0">
        <w:rPr>
          <w:rFonts w:cs="Arial"/>
          <w:szCs w:val="22"/>
        </w:rPr>
        <w:t>Kaštijun</w:t>
      </w:r>
      <w:proofErr w:type="spellEnd"/>
      <w:r w:rsidRPr="000034E0">
        <w:rPr>
          <w:rFonts w:cs="Arial"/>
          <w:szCs w:val="22"/>
        </w:rPr>
        <w:t xml:space="preserve"> u iznosu od </w:t>
      </w:r>
      <w:r w:rsidR="005F660D" w:rsidRPr="000034E0">
        <w:rPr>
          <w:rFonts w:cs="Arial"/>
          <w:szCs w:val="22"/>
        </w:rPr>
        <w:t>6.608.526,36</w:t>
      </w:r>
      <w:r w:rsidRPr="000034E0">
        <w:rPr>
          <w:rFonts w:cs="Arial"/>
          <w:szCs w:val="22"/>
        </w:rPr>
        <w:t>eur  čija  je otplata započela  2017. godine te kredit prema Ministarstvu p</w:t>
      </w:r>
      <w:r w:rsidR="005F660D" w:rsidRPr="000034E0">
        <w:rPr>
          <w:rFonts w:cs="Arial"/>
          <w:szCs w:val="22"/>
        </w:rPr>
        <w:t>oljoprivrede u iznosu 90.516,95</w:t>
      </w:r>
      <w:r w:rsidRPr="000034E0">
        <w:rPr>
          <w:rFonts w:cs="Arial"/>
          <w:szCs w:val="22"/>
        </w:rPr>
        <w:t xml:space="preserve">eur koji se otplaćuje po terminskom planu izvršavanja obveza predloženom i odobrenom od strane Ministarstva financija. </w:t>
      </w:r>
      <w:r w:rsidR="005F660D" w:rsidRPr="000034E0">
        <w:rPr>
          <w:rFonts w:cs="Arial"/>
          <w:szCs w:val="22"/>
        </w:rPr>
        <w:t xml:space="preserve">U nedospjelu obavezu odnosi se i kredit ERSTE banke za ulaganja u dom za starije i nemoćne osobe </w:t>
      </w:r>
      <w:proofErr w:type="spellStart"/>
      <w:r w:rsidR="005F660D" w:rsidRPr="000034E0">
        <w:rPr>
          <w:rFonts w:cs="Arial"/>
          <w:szCs w:val="22"/>
        </w:rPr>
        <w:t>Alfredo</w:t>
      </w:r>
      <w:proofErr w:type="spellEnd"/>
      <w:r w:rsidR="005F660D" w:rsidRPr="000034E0">
        <w:rPr>
          <w:rFonts w:cs="Arial"/>
          <w:szCs w:val="22"/>
        </w:rPr>
        <w:t xml:space="preserve"> Štiglić Pula koji na dan 31.12.2023 iznosi 131.974,63eur.</w:t>
      </w:r>
    </w:p>
    <w:p w:rsidR="005F660D" w:rsidRPr="000034E0" w:rsidRDefault="005F660D" w:rsidP="008B3AA1">
      <w:pPr>
        <w:autoSpaceDE w:val="0"/>
        <w:autoSpaceDN w:val="0"/>
        <w:adjustRightInd w:val="0"/>
        <w:rPr>
          <w:rFonts w:cs="Arial"/>
          <w:szCs w:val="22"/>
        </w:rPr>
      </w:pPr>
    </w:p>
    <w:p w:rsidR="005F660D" w:rsidRPr="000034E0" w:rsidRDefault="005F660D" w:rsidP="008B3AA1">
      <w:pPr>
        <w:autoSpaceDE w:val="0"/>
        <w:autoSpaceDN w:val="0"/>
        <w:adjustRightInd w:val="0"/>
        <w:rPr>
          <w:rFonts w:cs="Arial"/>
          <w:szCs w:val="22"/>
        </w:rPr>
      </w:pPr>
    </w:p>
    <w:p w:rsidR="008B3AA1" w:rsidRPr="000034E0" w:rsidRDefault="008B3AA1" w:rsidP="008B3AA1">
      <w:pPr>
        <w:autoSpaceDE w:val="0"/>
        <w:autoSpaceDN w:val="0"/>
        <w:adjustRightInd w:val="0"/>
        <w:rPr>
          <w:rFonts w:cs="Arial"/>
          <w:szCs w:val="22"/>
        </w:rPr>
      </w:pPr>
      <w:r w:rsidRPr="000034E0">
        <w:rPr>
          <w:rFonts w:cs="Arial"/>
          <w:szCs w:val="22"/>
        </w:rPr>
        <w:t xml:space="preserve">Nedospjelu obvezu Istarske županije čini </w:t>
      </w:r>
      <w:r w:rsidR="003203C8">
        <w:rPr>
          <w:rFonts w:cs="Arial"/>
          <w:szCs w:val="22"/>
        </w:rPr>
        <w:t xml:space="preserve">i </w:t>
      </w:r>
      <w:r w:rsidRPr="000034E0">
        <w:rPr>
          <w:rFonts w:cs="Arial"/>
          <w:szCs w:val="22"/>
        </w:rPr>
        <w:t xml:space="preserve">kredit Zagrebačke banke za uređenje domova za stare i nemoćne osobe sa rokom dospijeća 30.06.2029.godine, a koji je na dan 01.01.2023.godine iznosio 1.748.491,29eur. U 2023.godini podmireno je </w:t>
      </w:r>
      <w:r w:rsidR="005F660D" w:rsidRPr="000034E0">
        <w:rPr>
          <w:rFonts w:cs="Arial"/>
          <w:szCs w:val="22"/>
        </w:rPr>
        <w:t>268.979,29</w:t>
      </w:r>
      <w:r w:rsidRPr="000034E0">
        <w:rPr>
          <w:rFonts w:cs="Arial"/>
          <w:szCs w:val="22"/>
        </w:rPr>
        <w:t xml:space="preserve">eur što je rezultiralo saldom od </w:t>
      </w:r>
      <w:r w:rsidR="005F660D" w:rsidRPr="000034E0">
        <w:rPr>
          <w:rFonts w:cs="Arial"/>
          <w:szCs w:val="22"/>
        </w:rPr>
        <w:t>1.479.512,00</w:t>
      </w:r>
      <w:r w:rsidRPr="000034E0">
        <w:rPr>
          <w:rFonts w:cs="Arial"/>
          <w:szCs w:val="22"/>
        </w:rPr>
        <w:t>eur na dan 3</w:t>
      </w:r>
      <w:r w:rsidR="005F660D" w:rsidRPr="000034E0">
        <w:rPr>
          <w:rFonts w:cs="Arial"/>
          <w:szCs w:val="22"/>
        </w:rPr>
        <w:t>1</w:t>
      </w:r>
      <w:r w:rsidRPr="000034E0">
        <w:rPr>
          <w:rFonts w:cs="Arial"/>
          <w:szCs w:val="22"/>
        </w:rPr>
        <w:t>.</w:t>
      </w:r>
      <w:r w:rsidR="005F660D" w:rsidRPr="000034E0">
        <w:rPr>
          <w:rFonts w:cs="Arial"/>
          <w:szCs w:val="22"/>
        </w:rPr>
        <w:t>12</w:t>
      </w:r>
      <w:r w:rsidRPr="000034E0">
        <w:rPr>
          <w:rFonts w:cs="Arial"/>
          <w:szCs w:val="22"/>
        </w:rPr>
        <w:t>.2023. godine.</w:t>
      </w:r>
    </w:p>
    <w:p w:rsidR="008B3AA1" w:rsidRPr="000034E0" w:rsidRDefault="008B3AA1" w:rsidP="008B3AA1">
      <w:pPr>
        <w:autoSpaceDE w:val="0"/>
        <w:autoSpaceDN w:val="0"/>
        <w:adjustRightInd w:val="0"/>
        <w:rPr>
          <w:rFonts w:cs="Arial"/>
          <w:szCs w:val="22"/>
        </w:rPr>
      </w:pPr>
    </w:p>
    <w:p w:rsidR="008B3AA1" w:rsidRPr="000034E0" w:rsidRDefault="008B3AA1" w:rsidP="008B3AA1">
      <w:pPr>
        <w:autoSpaceDE w:val="0"/>
        <w:autoSpaceDN w:val="0"/>
        <w:adjustRightInd w:val="0"/>
        <w:rPr>
          <w:rFonts w:cs="Arial"/>
          <w:szCs w:val="22"/>
        </w:rPr>
      </w:pPr>
      <w:r w:rsidRPr="000034E0">
        <w:rPr>
          <w:rFonts w:cs="Arial"/>
          <w:szCs w:val="22"/>
        </w:rPr>
        <w:t xml:space="preserve">U nedospjeloj obavezi je i kredit prema Privrednoj banci Zagreb za kapitalne projekte sklopljen u iznosu od 8.626.982,55eur sa rokom dospijeća 30.11.2036. godine koji je 2022.godine započeo sa otplatom. Na dan 01.01.2023. iznos kredita iznosio je 8.051.850,38eur i izvršeno je plaćanje u 2023.g. u iznosu od </w:t>
      </w:r>
      <w:r w:rsidR="005F660D" w:rsidRPr="000034E0">
        <w:rPr>
          <w:rFonts w:cs="Arial"/>
          <w:szCs w:val="22"/>
        </w:rPr>
        <w:t>575.132,16</w:t>
      </w:r>
      <w:r w:rsidRPr="000034E0">
        <w:rPr>
          <w:rFonts w:cs="Arial"/>
          <w:szCs w:val="22"/>
        </w:rPr>
        <w:t>eur. Na dan 3</w:t>
      </w:r>
      <w:r w:rsidR="005F660D" w:rsidRPr="000034E0">
        <w:rPr>
          <w:rFonts w:cs="Arial"/>
          <w:szCs w:val="22"/>
        </w:rPr>
        <w:t>1</w:t>
      </w:r>
      <w:r w:rsidRPr="000034E0">
        <w:rPr>
          <w:rFonts w:cs="Arial"/>
          <w:szCs w:val="22"/>
        </w:rPr>
        <w:t>.</w:t>
      </w:r>
      <w:r w:rsidR="005F660D" w:rsidRPr="000034E0">
        <w:rPr>
          <w:rFonts w:cs="Arial"/>
          <w:szCs w:val="22"/>
        </w:rPr>
        <w:t>12</w:t>
      </w:r>
      <w:r w:rsidRPr="000034E0">
        <w:rPr>
          <w:rFonts w:cs="Arial"/>
          <w:szCs w:val="22"/>
        </w:rPr>
        <w:t xml:space="preserve">.2023.g. ostalo je za otplatu prema Privrednoj banci </w:t>
      </w:r>
      <w:r w:rsidR="005F660D" w:rsidRPr="000034E0">
        <w:rPr>
          <w:rFonts w:cs="Arial"/>
          <w:szCs w:val="22"/>
        </w:rPr>
        <w:t>7.476.718,22</w:t>
      </w:r>
      <w:r w:rsidRPr="000034E0">
        <w:rPr>
          <w:rFonts w:cs="Arial"/>
          <w:szCs w:val="22"/>
        </w:rPr>
        <w:t>eur.</w:t>
      </w:r>
    </w:p>
    <w:p w:rsidR="001E1E3B" w:rsidRDefault="001E1E3B" w:rsidP="008B3AA1">
      <w:pPr>
        <w:autoSpaceDE w:val="0"/>
        <w:autoSpaceDN w:val="0"/>
        <w:adjustRightInd w:val="0"/>
        <w:rPr>
          <w:rFonts w:cs="Arial"/>
          <w:color w:val="2E74B5" w:themeColor="accent1" w:themeShade="BF"/>
          <w:szCs w:val="22"/>
        </w:rPr>
      </w:pPr>
    </w:p>
    <w:p w:rsidR="008B3AA1" w:rsidRDefault="008B3AA1" w:rsidP="008B3AA1">
      <w:pPr>
        <w:autoSpaceDE w:val="0"/>
        <w:autoSpaceDN w:val="0"/>
        <w:adjustRightInd w:val="0"/>
        <w:rPr>
          <w:rFonts w:cs="Arial"/>
          <w:color w:val="2E74B5" w:themeColor="accent1" w:themeShade="BF"/>
          <w:szCs w:val="22"/>
        </w:rPr>
      </w:pPr>
    </w:p>
    <w:p w:rsidR="008B62E7" w:rsidRDefault="001E1E3B" w:rsidP="001E1E3B">
      <w:pPr>
        <w:rPr>
          <w:rFonts w:cs="Arial"/>
          <w:b/>
          <w:szCs w:val="22"/>
        </w:rPr>
      </w:pPr>
      <w:r w:rsidRPr="001531E0">
        <w:rPr>
          <w:rFonts w:cs="Arial"/>
          <w:b/>
          <w:szCs w:val="22"/>
        </w:rPr>
        <w:t xml:space="preserve">IZVJEŠTAJ O  PROMJENAMA U VRIJEDNOSTI I OBUJMU IMOVINE I OBVEZA </w:t>
      </w:r>
    </w:p>
    <w:p w:rsidR="001E1E3B" w:rsidRPr="001531E0" w:rsidRDefault="001E1E3B" w:rsidP="001E1E3B">
      <w:pPr>
        <w:rPr>
          <w:rFonts w:cs="Arial"/>
          <w:b/>
          <w:szCs w:val="22"/>
        </w:rPr>
      </w:pPr>
      <w:r w:rsidRPr="001531E0">
        <w:rPr>
          <w:rFonts w:cs="Arial"/>
          <w:b/>
          <w:szCs w:val="22"/>
        </w:rPr>
        <w:t>(Obrazac P-VRIO)</w:t>
      </w:r>
    </w:p>
    <w:p w:rsidR="001E1E3B" w:rsidRPr="001531E0" w:rsidRDefault="001E1E3B" w:rsidP="001E1E3B">
      <w:pPr>
        <w:rPr>
          <w:rFonts w:cs="Arial"/>
          <w:b/>
          <w:szCs w:val="22"/>
        </w:rPr>
      </w:pPr>
    </w:p>
    <w:p w:rsidR="001E1E3B" w:rsidRPr="001531E0" w:rsidRDefault="001E1E3B" w:rsidP="001E1E3B">
      <w:pPr>
        <w:rPr>
          <w:rFonts w:cs="Arial"/>
          <w:b/>
          <w:szCs w:val="22"/>
        </w:rPr>
      </w:pPr>
    </w:p>
    <w:p w:rsidR="001E1E3B" w:rsidRPr="001531E0" w:rsidRDefault="001E1E3B" w:rsidP="001E1E3B">
      <w:pPr>
        <w:rPr>
          <w:rFonts w:cs="Arial"/>
          <w:b/>
          <w:szCs w:val="22"/>
        </w:rPr>
      </w:pPr>
      <w:r w:rsidRPr="001531E0">
        <w:rPr>
          <w:rFonts w:cs="Arial"/>
          <w:b/>
          <w:szCs w:val="22"/>
        </w:rPr>
        <w:t>Bilješka broj 2</w:t>
      </w:r>
      <w:r w:rsidR="001531E0">
        <w:rPr>
          <w:rFonts w:cs="Arial"/>
          <w:b/>
          <w:szCs w:val="22"/>
        </w:rPr>
        <w:t>4</w:t>
      </w:r>
      <w:r w:rsidRPr="001531E0">
        <w:rPr>
          <w:rFonts w:cs="Arial"/>
          <w:b/>
          <w:szCs w:val="22"/>
        </w:rPr>
        <w:t>.</w:t>
      </w:r>
    </w:p>
    <w:p w:rsidR="001E1E3B" w:rsidRPr="001E1E3B" w:rsidRDefault="001E1E3B" w:rsidP="001E1E3B">
      <w:pPr>
        <w:rPr>
          <w:rFonts w:cs="Arial"/>
          <w:szCs w:val="22"/>
        </w:rPr>
      </w:pPr>
    </w:p>
    <w:p w:rsidR="001E1E3B" w:rsidRPr="001E1E3B" w:rsidRDefault="001E1E3B" w:rsidP="001E1E3B">
      <w:pPr>
        <w:rPr>
          <w:rFonts w:cs="Arial"/>
          <w:szCs w:val="22"/>
        </w:rPr>
      </w:pPr>
    </w:p>
    <w:p w:rsidR="001E1E3B" w:rsidRPr="001E1E3B" w:rsidRDefault="001E1E3B" w:rsidP="001E1E3B">
      <w:pPr>
        <w:rPr>
          <w:rFonts w:cs="Arial"/>
          <w:szCs w:val="22"/>
        </w:rPr>
      </w:pPr>
      <w:r w:rsidRPr="001E1E3B">
        <w:rPr>
          <w:rFonts w:cs="Arial"/>
          <w:szCs w:val="22"/>
        </w:rPr>
        <w:t xml:space="preserve">Na šifri 9151 iskazane su promjene u vrijednosti i obujmu imovine: smanjenje u iznosu 473.221,32eur i povećanje u vrijednosti od 5.454.349,59eur. </w:t>
      </w:r>
    </w:p>
    <w:p w:rsidR="001E1E3B" w:rsidRPr="001E1E3B" w:rsidRDefault="001E1E3B" w:rsidP="001E1E3B">
      <w:pPr>
        <w:rPr>
          <w:rFonts w:cs="Arial"/>
          <w:szCs w:val="22"/>
        </w:rPr>
      </w:pPr>
    </w:p>
    <w:p w:rsidR="001E1E3B" w:rsidRPr="001E1E3B" w:rsidRDefault="001E1E3B" w:rsidP="001E1E3B">
      <w:pPr>
        <w:rPr>
          <w:rFonts w:cs="Arial"/>
          <w:szCs w:val="22"/>
        </w:rPr>
      </w:pPr>
      <w:r w:rsidRPr="001E1E3B">
        <w:rPr>
          <w:rFonts w:cs="Arial"/>
          <w:szCs w:val="22"/>
        </w:rPr>
        <w:t xml:space="preserve">Povećanje u promjeni obujma imovine odnosi se na </w:t>
      </w:r>
      <w:proofErr w:type="spellStart"/>
      <w:r w:rsidRPr="001E1E3B">
        <w:rPr>
          <w:rFonts w:cs="Arial"/>
          <w:szCs w:val="22"/>
        </w:rPr>
        <w:t>neproizvedenu</w:t>
      </w:r>
      <w:proofErr w:type="spellEnd"/>
      <w:r w:rsidRPr="001E1E3B">
        <w:rPr>
          <w:rFonts w:cs="Arial"/>
          <w:szCs w:val="22"/>
        </w:rPr>
        <w:t xml:space="preserve"> dugotrajnu imovinu u iznosu od </w:t>
      </w:r>
      <w:r w:rsidR="001531E0" w:rsidRPr="001531E0">
        <w:rPr>
          <w:rFonts w:cs="Arial"/>
          <w:szCs w:val="22"/>
        </w:rPr>
        <w:t>5.379.757,49</w:t>
      </w:r>
      <w:r w:rsidRPr="001E1E3B">
        <w:rPr>
          <w:rFonts w:cs="Arial"/>
          <w:szCs w:val="22"/>
        </w:rPr>
        <w:t>eur (P018) koje se odnosi na usklađenje vrijednosti po procjembenom elaboratu u iznosu od 177.309,18eur, zatim donaciju Opće bolnice Pula u vidu zemljišta vrijednosti 5.206.430,00eur i zamjene nekretnina između Specijalne bolnice Martin Horvat Rovinj i Srednje škole Eugena Kumičića u iznosu od 3.981,69eur.</w:t>
      </w:r>
    </w:p>
    <w:p w:rsidR="001E1E3B" w:rsidRPr="001E1E3B" w:rsidRDefault="001E1E3B" w:rsidP="001E1E3B">
      <w:pPr>
        <w:rPr>
          <w:rFonts w:cs="Arial"/>
          <w:szCs w:val="22"/>
        </w:rPr>
      </w:pPr>
    </w:p>
    <w:p w:rsidR="001E1E3B" w:rsidRPr="001E1E3B" w:rsidRDefault="001E1E3B" w:rsidP="001E1E3B">
      <w:pPr>
        <w:rPr>
          <w:rFonts w:cs="Arial"/>
          <w:szCs w:val="22"/>
        </w:rPr>
      </w:pPr>
      <w:r w:rsidRPr="001E1E3B">
        <w:rPr>
          <w:rFonts w:cs="Arial"/>
          <w:szCs w:val="22"/>
        </w:rPr>
        <w:t xml:space="preserve">Povećanje u promjeni obujma imovine odnosi se na proizvedenu dugotrajnu imovinu u iznosu od 74.592,10eur (P018) koje se odnosi na povećanje obujma dugotrajne imovine po donaciji Opće bolnice Pula, zgrade u vrijednosti 3.040.000,00eur kao i korigirane vrijednosti vezano uz izgradnju sustava navodnjavanja u </w:t>
      </w:r>
      <w:proofErr w:type="spellStart"/>
      <w:r w:rsidRPr="001E1E3B">
        <w:rPr>
          <w:rFonts w:cs="Arial"/>
          <w:szCs w:val="22"/>
        </w:rPr>
        <w:t>Valturi</w:t>
      </w:r>
      <w:proofErr w:type="spellEnd"/>
      <w:r w:rsidRPr="001E1E3B">
        <w:rPr>
          <w:rFonts w:cs="Arial"/>
          <w:szCs w:val="22"/>
        </w:rPr>
        <w:t xml:space="preserve"> u iznosu od 2.965.407,90eur.</w:t>
      </w:r>
    </w:p>
    <w:p w:rsidR="001E1E3B" w:rsidRPr="001E1E3B" w:rsidRDefault="001E1E3B" w:rsidP="001E1E3B">
      <w:pPr>
        <w:rPr>
          <w:rFonts w:cs="Arial"/>
          <w:szCs w:val="22"/>
        </w:rPr>
      </w:pPr>
    </w:p>
    <w:p w:rsidR="006E52BA" w:rsidRDefault="001E1E3B" w:rsidP="001E1E3B">
      <w:pPr>
        <w:rPr>
          <w:rFonts w:cs="Arial"/>
          <w:szCs w:val="22"/>
        </w:rPr>
      </w:pPr>
      <w:r w:rsidRPr="001E1E3B">
        <w:rPr>
          <w:rFonts w:cs="Arial"/>
          <w:szCs w:val="22"/>
        </w:rPr>
        <w:t>Iskazano smanjenje u obujmu imovine u ukupnom iznosu od</w:t>
      </w:r>
      <w:r w:rsidR="001531E0">
        <w:rPr>
          <w:rFonts w:cs="Arial"/>
          <w:szCs w:val="22"/>
        </w:rPr>
        <w:t xml:space="preserve"> </w:t>
      </w:r>
      <w:r w:rsidR="00C34AAF">
        <w:rPr>
          <w:rFonts w:cs="Arial"/>
          <w:szCs w:val="22"/>
        </w:rPr>
        <w:t>473.221,32eur odnosi se na</w:t>
      </w:r>
      <w:r w:rsidRPr="001E1E3B">
        <w:rPr>
          <w:rFonts w:cs="Arial"/>
          <w:szCs w:val="22"/>
        </w:rPr>
        <w:t>: prijenos dugotrajne imovine proračunskom korisniku u iznosu od 447.473,87eur, smanjenje dionica i udjela u glavnici u iznosu od 12.282,30eur i na otpis zastarjelog potraživanja za prihode poslovanja u iznosu od 13.122,14eur.</w:t>
      </w:r>
    </w:p>
    <w:p w:rsidR="00FD1BCC" w:rsidRDefault="00FD1BCC" w:rsidP="001E1E3B">
      <w:pPr>
        <w:rPr>
          <w:rFonts w:cs="Arial"/>
          <w:szCs w:val="22"/>
        </w:rPr>
      </w:pPr>
    </w:p>
    <w:p w:rsidR="00FD1BCC" w:rsidRPr="001E1E3B" w:rsidRDefault="00FD1BCC" w:rsidP="00FD1BCC">
      <w:pPr>
        <w:rPr>
          <w:rFonts w:cs="Arial"/>
          <w:szCs w:val="22"/>
        </w:rPr>
      </w:pPr>
      <w:r w:rsidRPr="001E1E3B">
        <w:rPr>
          <w:rFonts w:cs="Arial"/>
          <w:szCs w:val="22"/>
        </w:rPr>
        <w:t>Smanjenje proizvedene dugotrajne imovine u iznosu od 343,01eur odnosi se na rashod proizvedene dugotrajne imovine.</w:t>
      </w:r>
    </w:p>
    <w:p w:rsidR="00FD1BCC" w:rsidRPr="001E1E3B" w:rsidRDefault="00FD1BCC" w:rsidP="00FD1BCC">
      <w:pPr>
        <w:rPr>
          <w:rFonts w:cs="Arial"/>
          <w:szCs w:val="22"/>
        </w:rPr>
      </w:pPr>
    </w:p>
    <w:p w:rsidR="008045BC" w:rsidRPr="0093023A" w:rsidRDefault="008045BC" w:rsidP="008045BC">
      <w:pPr>
        <w:rPr>
          <w:rFonts w:cs="Arial"/>
          <w:b/>
          <w:szCs w:val="22"/>
        </w:rPr>
      </w:pPr>
      <w:r w:rsidRPr="0093023A">
        <w:rPr>
          <w:rFonts w:cs="Arial"/>
          <w:b/>
          <w:szCs w:val="22"/>
        </w:rPr>
        <w:lastRenderedPageBreak/>
        <w:t>IZVJEŠTAJ O RASHODIMA PREMA FUNKCIJSKOJ KLASIFIKACIJI</w:t>
      </w:r>
    </w:p>
    <w:p w:rsidR="008045BC" w:rsidRPr="0093023A" w:rsidRDefault="008045BC" w:rsidP="008045BC">
      <w:pPr>
        <w:rPr>
          <w:rFonts w:cs="Arial"/>
          <w:b/>
          <w:szCs w:val="22"/>
        </w:rPr>
      </w:pPr>
      <w:r w:rsidRPr="0093023A">
        <w:rPr>
          <w:rFonts w:cs="Arial"/>
          <w:b/>
          <w:szCs w:val="22"/>
        </w:rPr>
        <w:t>(OBRAZAC RAS- funkcijski)</w:t>
      </w:r>
    </w:p>
    <w:p w:rsidR="008B3AA1" w:rsidRPr="0093023A" w:rsidRDefault="008B3AA1" w:rsidP="008045BC">
      <w:pPr>
        <w:rPr>
          <w:rFonts w:cs="Arial"/>
          <w:b/>
          <w:szCs w:val="22"/>
        </w:rPr>
      </w:pPr>
    </w:p>
    <w:p w:rsidR="008045BC" w:rsidRPr="0093023A" w:rsidRDefault="008045BC" w:rsidP="008045BC">
      <w:pPr>
        <w:rPr>
          <w:rFonts w:cs="Arial"/>
          <w:b/>
          <w:szCs w:val="22"/>
        </w:rPr>
      </w:pPr>
    </w:p>
    <w:p w:rsidR="008045BC" w:rsidRPr="0093023A" w:rsidRDefault="008045BC" w:rsidP="008045BC">
      <w:pPr>
        <w:rPr>
          <w:rFonts w:cs="Arial"/>
          <w:b/>
          <w:szCs w:val="22"/>
        </w:rPr>
      </w:pPr>
      <w:r w:rsidRPr="0093023A">
        <w:rPr>
          <w:rFonts w:cs="Arial"/>
          <w:b/>
          <w:szCs w:val="22"/>
        </w:rPr>
        <w:t>Bilješka br. 25.</w:t>
      </w:r>
    </w:p>
    <w:p w:rsidR="008045BC" w:rsidRPr="0093023A" w:rsidRDefault="008045BC" w:rsidP="008045BC">
      <w:pPr>
        <w:rPr>
          <w:rFonts w:cs="Arial"/>
          <w:b/>
          <w:szCs w:val="22"/>
        </w:rPr>
      </w:pPr>
    </w:p>
    <w:p w:rsidR="001531E0" w:rsidRPr="0093023A" w:rsidRDefault="008045BC" w:rsidP="008045BC">
      <w:pPr>
        <w:rPr>
          <w:rFonts w:cs="Arial"/>
          <w:szCs w:val="22"/>
        </w:rPr>
      </w:pPr>
      <w:r w:rsidRPr="0093023A">
        <w:rPr>
          <w:rFonts w:cs="Arial"/>
          <w:szCs w:val="22"/>
        </w:rPr>
        <w:t xml:space="preserve">Ukupna sredstva u iznosu </w:t>
      </w:r>
      <w:r w:rsidR="006F35B8" w:rsidRPr="0093023A">
        <w:rPr>
          <w:rFonts w:cs="Arial"/>
          <w:szCs w:val="22"/>
        </w:rPr>
        <w:t>34.143.907,20</w:t>
      </w:r>
      <w:r w:rsidR="0089232C" w:rsidRPr="0093023A">
        <w:rPr>
          <w:rFonts w:cs="Arial"/>
          <w:szCs w:val="22"/>
        </w:rPr>
        <w:t xml:space="preserve">eur </w:t>
      </w:r>
      <w:r w:rsidRPr="0093023A">
        <w:rPr>
          <w:rFonts w:cs="Arial"/>
          <w:szCs w:val="22"/>
        </w:rPr>
        <w:t xml:space="preserve">predstavljaju </w:t>
      </w:r>
      <w:r w:rsidR="00F57B04" w:rsidRPr="0093023A">
        <w:rPr>
          <w:rFonts w:cs="Arial"/>
          <w:szCs w:val="22"/>
        </w:rPr>
        <w:t>poveća</w:t>
      </w:r>
      <w:r w:rsidRPr="0093023A">
        <w:rPr>
          <w:rFonts w:cs="Arial"/>
          <w:szCs w:val="22"/>
        </w:rPr>
        <w:t xml:space="preserve">nje od </w:t>
      </w:r>
      <w:r w:rsidR="00F57B04" w:rsidRPr="0093023A">
        <w:rPr>
          <w:rFonts w:cs="Arial"/>
          <w:szCs w:val="22"/>
        </w:rPr>
        <w:t>4</w:t>
      </w:r>
      <w:r w:rsidR="0089701F" w:rsidRPr="0093023A">
        <w:rPr>
          <w:rFonts w:cs="Arial"/>
          <w:szCs w:val="22"/>
        </w:rPr>
        <w:t>1,</w:t>
      </w:r>
      <w:r w:rsidR="006F35B8" w:rsidRPr="0093023A">
        <w:rPr>
          <w:rFonts w:cs="Arial"/>
          <w:szCs w:val="22"/>
        </w:rPr>
        <w:t>4</w:t>
      </w:r>
      <w:r w:rsidRPr="0093023A">
        <w:rPr>
          <w:rFonts w:cs="Arial"/>
          <w:szCs w:val="22"/>
        </w:rPr>
        <w:t xml:space="preserve">% u odnosu na prethodnu godinu. </w:t>
      </w:r>
    </w:p>
    <w:p w:rsidR="001531E0" w:rsidRPr="0093023A" w:rsidRDefault="001531E0" w:rsidP="008045BC">
      <w:pPr>
        <w:rPr>
          <w:rFonts w:cs="Arial"/>
          <w:szCs w:val="22"/>
        </w:rPr>
      </w:pPr>
    </w:p>
    <w:p w:rsidR="008045BC" w:rsidRPr="0093023A" w:rsidRDefault="008045BC" w:rsidP="008045BC">
      <w:pPr>
        <w:rPr>
          <w:rFonts w:cs="Arial"/>
          <w:szCs w:val="22"/>
        </w:rPr>
      </w:pPr>
      <w:r w:rsidRPr="0093023A">
        <w:rPr>
          <w:rFonts w:cs="Arial"/>
          <w:szCs w:val="22"/>
        </w:rPr>
        <w:t xml:space="preserve">Ukupni rashodi Istarske županije po funkcijskoj klasifikaciji iznose </w:t>
      </w:r>
      <w:r w:rsidR="0089232C" w:rsidRPr="0093023A">
        <w:rPr>
          <w:rFonts w:cs="Arial"/>
          <w:szCs w:val="22"/>
        </w:rPr>
        <w:t xml:space="preserve">34.100.536,94eur </w:t>
      </w:r>
      <w:r w:rsidRPr="0093023A">
        <w:rPr>
          <w:rFonts w:cs="Arial"/>
          <w:szCs w:val="22"/>
        </w:rPr>
        <w:t>umanjeno za iznos na kontu 367, temeljem Okružnice M</w:t>
      </w:r>
      <w:r w:rsidR="00BC1A16" w:rsidRPr="0093023A">
        <w:rPr>
          <w:rFonts w:cs="Arial"/>
          <w:szCs w:val="22"/>
        </w:rPr>
        <w:t>inistarstva financija</w:t>
      </w:r>
      <w:r w:rsidRPr="0093023A">
        <w:rPr>
          <w:rFonts w:cs="Arial"/>
          <w:szCs w:val="22"/>
        </w:rPr>
        <w:t xml:space="preserve"> za 202</w:t>
      </w:r>
      <w:r w:rsidR="00E27A7F" w:rsidRPr="0093023A">
        <w:rPr>
          <w:rFonts w:cs="Arial"/>
          <w:szCs w:val="22"/>
        </w:rPr>
        <w:t>3</w:t>
      </w:r>
      <w:r w:rsidRPr="0093023A">
        <w:rPr>
          <w:rFonts w:cs="Arial"/>
          <w:szCs w:val="22"/>
        </w:rPr>
        <w:t xml:space="preserve">. godinu te Okružnica iz ranijih </w:t>
      </w:r>
      <w:r w:rsidR="0093023A" w:rsidRPr="0093023A">
        <w:rPr>
          <w:rFonts w:cs="Arial"/>
          <w:szCs w:val="22"/>
        </w:rPr>
        <w:t xml:space="preserve">razdoblja i isti su </w:t>
      </w:r>
      <w:r w:rsidRPr="0093023A">
        <w:rPr>
          <w:rFonts w:cs="Arial"/>
          <w:szCs w:val="22"/>
        </w:rPr>
        <w:t xml:space="preserve">uvećani za rashode Vijeća nacionalnih manjina i predstavnika u iznosu od </w:t>
      </w:r>
      <w:r w:rsidR="006F35B8" w:rsidRPr="0093023A">
        <w:rPr>
          <w:rFonts w:cs="Arial"/>
          <w:szCs w:val="22"/>
        </w:rPr>
        <w:t xml:space="preserve">43.370,26eur </w:t>
      </w:r>
      <w:r w:rsidR="0093023A" w:rsidRPr="0093023A">
        <w:rPr>
          <w:rFonts w:cs="Arial"/>
          <w:szCs w:val="22"/>
        </w:rPr>
        <w:t xml:space="preserve">te </w:t>
      </w:r>
      <w:r w:rsidR="00BC1A16" w:rsidRPr="0093023A">
        <w:rPr>
          <w:rFonts w:cs="Arial"/>
          <w:szCs w:val="22"/>
        </w:rPr>
        <w:t>iskazuju ukupna sredstva u iznosu od</w:t>
      </w:r>
      <w:r w:rsidRPr="0093023A">
        <w:rPr>
          <w:rFonts w:cs="Arial"/>
          <w:szCs w:val="22"/>
        </w:rPr>
        <w:t xml:space="preserve"> </w:t>
      </w:r>
      <w:r w:rsidR="006F35B8" w:rsidRPr="0093023A">
        <w:rPr>
          <w:rFonts w:cs="Arial"/>
          <w:szCs w:val="22"/>
        </w:rPr>
        <w:t>34.143.907,20eur.</w:t>
      </w:r>
    </w:p>
    <w:p w:rsidR="008045BC" w:rsidRPr="0093023A" w:rsidRDefault="008045BC" w:rsidP="008045BC">
      <w:pPr>
        <w:rPr>
          <w:rFonts w:cs="Arial"/>
          <w:szCs w:val="22"/>
        </w:rPr>
      </w:pPr>
    </w:p>
    <w:p w:rsidR="00BC1A16" w:rsidRPr="0093023A" w:rsidRDefault="008045BC" w:rsidP="008045BC">
      <w:pPr>
        <w:rPr>
          <w:rFonts w:cs="Arial"/>
          <w:szCs w:val="22"/>
        </w:rPr>
      </w:pPr>
      <w:r w:rsidRPr="0093023A">
        <w:rPr>
          <w:rFonts w:cs="Arial"/>
          <w:szCs w:val="22"/>
        </w:rPr>
        <w:t xml:space="preserve">Izvještaj prikazuje rashode prema funkcijama i to na: </w:t>
      </w:r>
    </w:p>
    <w:p w:rsidR="00BC1A16" w:rsidRPr="0093023A" w:rsidRDefault="008045BC" w:rsidP="00A86B3C">
      <w:pPr>
        <w:pStyle w:val="Odlomakpopisa"/>
        <w:numPr>
          <w:ilvl w:val="0"/>
          <w:numId w:val="25"/>
        </w:numPr>
        <w:rPr>
          <w:rFonts w:cs="Arial"/>
          <w:szCs w:val="22"/>
        </w:rPr>
      </w:pPr>
      <w:r w:rsidRPr="0093023A">
        <w:rPr>
          <w:rFonts w:cs="Arial"/>
          <w:szCs w:val="22"/>
        </w:rPr>
        <w:t xml:space="preserve">opće javne usluge odnosi se iznos od </w:t>
      </w:r>
      <w:r w:rsidR="00A86B3C" w:rsidRPr="0093023A">
        <w:rPr>
          <w:rFonts w:cs="Arial"/>
          <w:szCs w:val="22"/>
        </w:rPr>
        <w:t xml:space="preserve">12.147.781,83eur </w:t>
      </w:r>
      <w:r w:rsidR="00E01F39" w:rsidRPr="0093023A">
        <w:rPr>
          <w:rFonts w:cs="Arial"/>
          <w:szCs w:val="22"/>
        </w:rPr>
        <w:t>i biljež</w:t>
      </w:r>
      <w:r w:rsidR="00A86B3C" w:rsidRPr="0093023A">
        <w:rPr>
          <w:rFonts w:cs="Arial"/>
          <w:szCs w:val="22"/>
        </w:rPr>
        <w:t>e povećanje od 24</w:t>
      </w:r>
      <w:r w:rsidR="00E01F39" w:rsidRPr="0093023A">
        <w:rPr>
          <w:rFonts w:cs="Arial"/>
          <w:szCs w:val="22"/>
        </w:rPr>
        <w:t>,5%</w:t>
      </w:r>
      <w:r w:rsidRPr="0093023A">
        <w:rPr>
          <w:rFonts w:cs="Arial"/>
          <w:szCs w:val="22"/>
        </w:rPr>
        <w:t xml:space="preserve"> </w:t>
      </w:r>
      <w:r w:rsidR="003E46B4" w:rsidRPr="0093023A">
        <w:rPr>
          <w:rFonts w:cs="Arial"/>
          <w:szCs w:val="22"/>
        </w:rPr>
        <w:t>koji se dijeli na</w:t>
      </w:r>
      <w:r w:rsidR="00BC1A16" w:rsidRPr="0093023A">
        <w:rPr>
          <w:rFonts w:cs="Arial"/>
          <w:szCs w:val="22"/>
        </w:rPr>
        <w:t>:</w:t>
      </w:r>
    </w:p>
    <w:p w:rsidR="00BC1A16" w:rsidRPr="0093023A" w:rsidRDefault="00E01F39" w:rsidP="00A86B3C">
      <w:pPr>
        <w:pStyle w:val="Odlomakpopisa"/>
        <w:numPr>
          <w:ilvl w:val="0"/>
          <w:numId w:val="26"/>
        </w:numPr>
        <w:rPr>
          <w:rFonts w:cs="Arial"/>
          <w:szCs w:val="22"/>
        </w:rPr>
      </w:pPr>
      <w:r w:rsidRPr="0093023A">
        <w:rPr>
          <w:rFonts w:cs="Arial"/>
          <w:szCs w:val="22"/>
        </w:rPr>
        <w:t xml:space="preserve">izvršna i zakonodavna tijela, financijski i fiskalni poslovi, vanjski poslovi </w:t>
      </w:r>
      <w:r w:rsidR="00BC1A16" w:rsidRPr="0093023A">
        <w:rPr>
          <w:rFonts w:cs="Arial"/>
          <w:szCs w:val="22"/>
        </w:rPr>
        <w:t xml:space="preserve">u iznosu od </w:t>
      </w:r>
      <w:r w:rsidR="00A86B3C" w:rsidRPr="0093023A">
        <w:rPr>
          <w:rFonts w:cs="Arial"/>
          <w:szCs w:val="22"/>
        </w:rPr>
        <w:t xml:space="preserve">778.635,57eur </w:t>
      </w:r>
      <w:r w:rsidRPr="0093023A">
        <w:rPr>
          <w:rFonts w:cs="Arial"/>
          <w:szCs w:val="22"/>
        </w:rPr>
        <w:t xml:space="preserve">koje bilježi </w:t>
      </w:r>
      <w:r w:rsidR="00A86B3C" w:rsidRPr="0093023A">
        <w:rPr>
          <w:rFonts w:cs="Arial"/>
          <w:szCs w:val="22"/>
        </w:rPr>
        <w:t>povećanje</w:t>
      </w:r>
      <w:r w:rsidRPr="0093023A">
        <w:rPr>
          <w:rFonts w:cs="Arial"/>
          <w:szCs w:val="22"/>
        </w:rPr>
        <w:t xml:space="preserve"> od </w:t>
      </w:r>
      <w:r w:rsidR="00A86B3C" w:rsidRPr="0093023A">
        <w:rPr>
          <w:rFonts w:cs="Arial"/>
          <w:szCs w:val="22"/>
        </w:rPr>
        <w:t>1</w:t>
      </w:r>
      <w:r w:rsidRPr="0093023A">
        <w:rPr>
          <w:rFonts w:cs="Arial"/>
          <w:szCs w:val="22"/>
        </w:rPr>
        <w:t>4</w:t>
      </w:r>
      <w:r w:rsidR="00A86B3C" w:rsidRPr="0093023A">
        <w:rPr>
          <w:rFonts w:cs="Arial"/>
          <w:szCs w:val="22"/>
        </w:rPr>
        <w:t>,</w:t>
      </w:r>
      <w:r w:rsidRPr="0093023A">
        <w:rPr>
          <w:rFonts w:cs="Arial"/>
          <w:szCs w:val="22"/>
        </w:rPr>
        <w:t>4%</w:t>
      </w:r>
      <w:r w:rsidR="003E46B4" w:rsidRPr="0093023A">
        <w:rPr>
          <w:rFonts w:cs="Arial"/>
          <w:szCs w:val="22"/>
        </w:rPr>
        <w:t>,</w:t>
      </w:r>
      <w:r w:rsidR="00BC1A16" w:rsidRPr="0093023A">
        <w:rPr>
          <w:rFonts w:cs="Arial"/>
          <w:szCs w:val="22"/>
        </w:rPr>
        <w:t xml:space="preserve"> </w:t>
      </w:r>
    </w:p>
    <w:p w:rsidR="00E01F39" w:rsidRPr="0093023A" w:rsidRDefault="00E01F39" w:rsidP="00A86B3C">
      <w:pPr>
        <w:pStyle w:val="Odlomakpopisa"/>
        <w:numPr>
          <w:ilvl w:val="0"/>
          <w:numId w:val="26"/>
        </w:numPr>
        <w:rPr>
          <w:rFonts w:cs="Arial"/>
          <w:szCs w:val="22"/>
        </w:rPr>
      </w:pPr>
      <w:r w:rsidRPr="0093023A">
        <w:rPr>
          <w:rFonts w:cs="Arial"/>
          <w:szCs w:val="22"/>
        </w:rPr>
        <w:t xml:space="preserve">opće usluge odnosi se </w:t>
      </w:r>
      <w:r w:rsidR="00A86B3C" w:rsidRPr="0093023A">
        <w:rPr>
          <w:rFonts w:cs="Arial"/>
          <w:szCs w:val="22"/>
        </w:rPr>
        <w:t xml:space="preserve">11.369.146,26eur </w:t>
      </w:r>
      <w:r w:rsidRPr="0093023A">
        <w:rPr>
          <w:rFonts w:cs="Arial"/>
          <w:szCs w:val="22"/>
        </w:rPr>
        <w:t xml:space="preserve">od čega najveće povećanje bilježe </w:t>
      </w:r>
      <w:r w:rsidR="00A86B3C" w:rsidRPr="0093023A">
        <w:rPr>
          <w:rFonts w:cs="Arial"/>
          <w:szCs w:val="22"/>
        </w:rPr>
        <w:t xml:space="preserve">ostale </w:t>
      </w:r>
      <w:r w:rsidRPr="0093023A">
        <w:rPr>
          <w:rFonts w:cs="Arial"/>
          <w:szCs w:val="22"/>
        </w:rPr>
        <w:t xml:space="preserve">opće usluge </w:t>
      </w:r>
      <w:r w:rsidR="00A86B3C" w:rsidRPr="0093023A">
        <w:rPr>
          <w:rFonts w:cs="Arial"/>
          <w:szCs w:val="22"/>
        </w:rPr>
        <w:t>28,5</w:t>
      </w:r>
      <w:r w:rsidRPr="0093023A">
        <w:rPr>
          <w:rFonts w:cs="Arial"/>
          <w:szCs w:val="22"/>
        </w:rPr>
        <w:t xml:space="preserve"> (šifra013</w:t>
      </w:r>
      <w:r w:rsidR="00A86B3C" w:rsidRPr="0093023A">
        <w:rPr>
          <w:rFonts w:cs="Arial"/>
          <w:szCs w:val="22"/>
        </w:rPr>
        <w:t>3</w:t>
      </w:r>
      <w:r w:rsidRPr="0093023A">
        <w:rPr>
          <w:rFonts w:cs="Arial"/>
          <w:szCs w:val="22"/>
        </w:rPr>
        <w:t>)</w:t>
      </w:r>
    </w:p>
    <w:p w:rsidR="00045A76" w:rsidRPr="0093023A" w:rsidRDefault="00E01F39" w:rsidP="00A86B3C">
      <w:pPr>
        <w:pStyle w:val="Odlomakpopisa"/>
        <w:numPr>
          <w:ilvl w:val="0"/>
          <w:numId w:val="25"/>
        </w:numPr>
        <w:rPr>
          <w:rFonts w:cs="Arial"/>
          <w:szCs w:val="22"/>
        </w:rPr>
      </w:pPr>
      <w:r w:rsidRPr="0093023A">
        <w:rPr>
          <w:rFonts w:cs="Arial"/>
          <w:szCs w:val="22"/>
        </w:rPr>
        <w:t xml:space="preserve">obrana </w:t>
      </w:r>
      <w:r w:rsidR="00614B93" w:rsidRPr="0093023A">
        <w:rPr>
          <w:rFonts w:cs="Arial"/>
          <w:szCs w:val="22"/>
        </w:rPr>
        <w:t>(šifra02)</w:t>
      </w:r>
      <w:r w:rsidR="006879AE" w:rsidRPr="0093023A">
        <w:rPr>
          <w:rFonts w:cs="Arial"/>
          <w:szCs w:val="22"/>
        </w:rPr>
        <w:t xml:space="preserve"> </w:t>
      </w:r>
      <w:r w:rsidRPr="0093023A">
        <w:rPr>
          <w:rFonts w:cs="Arial"/>
          <w:szCs w:val="22"/>
        </w:rPr>
        <w:t xml:space="preserve">bilježi povećanje od </w:t>
      </w:r>
      <w:r w:rsidR="00A86B3C" w:rsidRPr="0093023A">
        <w:rPr>
          <w:rFonts w:cs="Arial"/>
          <w:szCs w:val="22"/>
        </w:rPr>
        <w:t>24.672,43eur</w:t>
      </w:r>
      <w:r w:rsidR="006879AE" w:rsidRPr="0093023A">
        <w:rPr>
          <w:rFonts w:cs="Arial"/>
          <w:szCs w:val="22"/>
        </w:rPr>
        <w:t xml:space="preserve">, a odnosi se na aktivnosti sustava civilne zaštite </w:t>
      </w:r>
      <w:r w:rsidRPr="0093023A">
        <w:rPr>
          <w:rFonts w:cs="Arial"/>
          <w:szCs w:val="22"/>
        </w:rPr>
        <w:t xml:space="preserve"> </w:t>
      </w:r>
    </w:p>
    <w:p w:rsidR="00E01F39" w:rsidRPr="0093023A" w:rsidRDefault="00E01F39" w:rsidP="00594362">
      <w:pPr>
        <w:pStyle w:val="Odlomakpopisa"/>
        <w:numPr>
          <w:ilvl w:val="0"/>
          <w:numId w:val="25"/>
        </w:numPr>
        <w:rPr>
          <w:rFonts w:cs="Arial"/>
          <w:b/>
          <w:szCs w:val="22"/>
        </w:rPr>
      </w:pPr>
      <w:r w:rsidRPr="0093023A">
        <w:rPr>
          <w:rFonts w:cs="Arial"/>
          <w:szCs w:val="22"/>
        </w:rPr>
        <w:t>javni red i sigurnost (</w:t>
      </w:r>
      <w:r w:rsidR="00CB2164" w:rsidRPr="0093023A">
        <w:rPr>
          <w:rFonts w:cs="Arial"/>
          <w:szCs w:val="22"/>
        </w:rPr>
        <w:t>šifra03) bilježi povećanje od 12</w:t>
      </w:r>
      <w:r w:rsidRPr="0093023A">
        <w:rPr>
          <w:rFonts w:cs="Arial"/>
          <w:szCs w:val="22"/>
        </w:rPr>
        <w:t>,8% koje se odnosi na usluge protupožarne zaštite</w:t>
      </w:r>
    </w:p>
    <w:p w:rsidR="00E01F39" w:rsidRPr="0093023A" w:rsidRDefault="00E01F39" w:rsidP="00E01F39">
      <w:pPr>
        <w:pStyle w:val="Odlomakpopisa"/>
        <w:numPr>
          <w:ilvl w:val="0"/>
          <w:numId w:val="25"/>
        </w:numPr>
        <w:rPr>
          <w:rFonts w:cs="Arial"/>
          <w:b/>
          <w:szCs w:val="22"/>
        </w:rPr>
      </w:pPr>
      <w:r w:rsidRPr="0093023A">
        <w:rPr>
          <w:rFonts w:cs="Arial"/>
          <w:szCs w:val="22"/>
        </w:rPr>
        <w:t xml:space="preserve">ekonomski poslovi (šifra04) bilježe smanjenje od </w:t>
      </w:r>
      <w:r w:rsidR="00CB2164" w:rsidRPr="0093023A">
        <w:rPr>
          <w:rFonts w:cs="Arial"/>
          <w:szCs w:val="22"/>
        </w:rPr>
        <w:t>1,2</w:t>
      </w:r>
      <w:r w:rsidRPr="0093023A">
        <w:rPr>
          <w:rFonts w:cs="Arial"/>
          <w:szCs w:val="22"/>
        </w:rPr>
        <w:t>%</w:t>
      </w:r>
    </w:p>
    <w:p w:rsidR="00E01F39" w:rsidRPr="0093023A" w:rsidRDefault="00E01F39" w:rsidP="00E01F39">
      <w:pPr>
        <w:pStyle w:val="Odlomakpopisa"/>
        <w:numPr>
          <w:ilvl w:val="0"/>
          <w:numId w:val="25"/>
        </w:numPr>
        <w:rPr>
          <w:rFonts w:cs="Arial"/>
          <w:b/>
          <w:szCs w:val="22"/>
        </w:rPr>
      </w:pPr>
      <w:r w:rsidRPr="0093023A">
        <w:rPr>
          <w:rFonts w:cs="Arial"/>
          <w:szCs w:val="22"/>
        </w:rPr>
        <w:t xml:space="preserve">zaštita okoliša (šifra05) isto tako bilježi smanjenje od </w:t>
      </w:r>
      <w:r w:rsidR="00CB2164" w:rsidRPr="0093023A">
        <w:rPr>
          <w:rFonts w:cs="Arial"/>
          <w:szCs w:val="22"/>
        </w:rPr>
        <w:t>29,1</w:t>
      </w:r>
      <w:r w:rsidRPr="0093023A">
        <w:rPr>
          <w:rFonts w:cs="Arial"/>
          <w:szCs w:val="22"/>
        </w:rPr>
        <w:t>%</w:t>
      </w:r>
    </w:p>
    <w:p w:rsidR="00E01F39" w:rsidRPr="0093023A" w:rsidRDefault="00E01F39" w:rsidP="00E01F39">
      <w:pPr>
        <w:pStyle w:val="Odlomakpopisa"/>
        <w:numPr>
          <w:ilvl w:val="0"/>
          <w:numId w:val="25"/>
        </w:numPr>
        <w:rPr>
          <w:rFonts w:cs="Arial"/>
          <w:b/>
          <w:szCs w:val="22"/>
        </w:rPr>
      </w:pPr>
      <w:r w:rsidRPr="0093023A">
        <w:rPr>
          <w:rFonts w:cs="Arial"/>
          <w:szCs w:val="22"/>
        </w:rPr>
        <w:t>zdravstvo</w:t>
      </w:r>
      <w:r w:rsidR="00614B93" w:rsidRPr="0093023A">
        <w:rPr>
          <w:rFonts w:cs="Arial"/>
          <w:szCs w:val="22"/>
        </w:rPr>
        <w:t xml:space="preserve"> (šifra07)</w:t>
      </w:r>
      <w:r w:rsidRPr="0093023A">
        <w:rPr>
          <w:rFonts w:cs="Arial"/>
          <w:szCs w:val="22"/>
        </w:rPr>
        <w:t xml:space="preserve"> bilježi povećanje od </w:t>
      </w:r>
      <w:r w:rsidR="00CB2164" w:rsidRPr="0093023A">
        <w:rPr>
          <w:rFonts w:cs="Arial"/>
          <w:szCs w:val="22"/>
        </w:rPr>
        <w:t>24,2</w:t>
      </w:r>
      <w:r w:rsidRPr="0093023A">
        <w:rPr>
          <w:rFonts w:cs="Arial"/>
          <w:szCs w:val="22"/>
        </w:rPr>
        <w:t>%</w:t>
      </w:r>
    </w:p>
    <w:p w:rsidR="00E01F39" w:rsidRPr="0093023A" w:rsidRDefault="00E01F39" w:rsidP="00E01F39">
      <w:pPr>
        <w:pStyle w:val="Odlomakpopisa"/>
        <w:numPr>
          <w:ilvl w:val="0"/>
          <w:numId w:val="25"/>
        </w:numPr>
        <w:rPr>
          <w:rFonts w:cs="Arial"/>
          <w:b/>
          <w:szCs w:val="22"/>
        </w:rPr>
      </w:pPr>
      <w:r w:rsidRPr="0093023A">
        <w:rPr>
          <w:rFonts w:cs="Arial"/>
          <w:szCs w:val="22"/>
        </w:rPr>
        <w:t>rekreacija, kultura</w:t>
      </w:r>
      <w:r w:rsidR="00A47966" w:rsidRPr="0093023A">
        <w:rPr>
          <w:rFonts w:cs="Arial"/>
          <w:szCs w:val="22"/>
        </w:rPr>
        <w:t xml:space="preserve"> i religija </w:t>
      </w:r>
      <w:r w:rsidR="00416CAE">
        <w:rPr>
          <w:rFonts w:cs="Arial"/>
          <w:szCs w:val="22"/>
        </w:rPr>
        <w:t>(šifra</w:t>
      </w:r>
      <w:r w:rsidR="00614B93" w:rsidRPr="0093023A">
        <w:rPr>
          <w:rFonts w:cs="Arial"/>
          <w:szCs w:val="22"/>
        </w:rPr>
        <w:t>08)</w:t>
      </w:r>
      <w:r w:rsidR="00A47966" w:rsidRPr="0093023A">
        <w:rPr>
          <w:rFonts w:cs="Arial"/>
          <w:szCs w:val="22"/>
        </w:rPr>
        <w:t xml:space="preserve">su povećane za </w:t>
      </w:r>
      <w:r w:rsidR="00CB2164" w:rsidRPr="0093023A">
        <w:rPr>
          <w:rFonts w:cs="Arial"/>
          <w:szCs w:val="22"/>
        </w:rPr>
        <w:t>29,0</w:t>
      </w:r>
      <w:r w:rsidR="00FD1BCC">
        <w:rPr>
          <w:rFonts w:cs="Arial"/>
          <w:szCs w:val="22"/>
        </w:rPr>
        <w:t>0</w:t>
      </w:r>
      <w:r w:rsidR="00A47966" w:rsidRPr="0093023A">
        <w:rPr>
          <w:rFonts w:cs="Arial"/>
          <w:szCs w:val="22"/>
        </w:rPr>
        <w:t>% u odnosu na 202</w:t>
      </w:r>
      <w:r w:rsidR="00CB2164" w:rsidRPr="0093023A">
        <w:rPr>
          <w:rFonts w:cs="Arial"/>
          <w:szCs w:val="22"/>
        </w:rPr>
        <w:t>2</w:t>
      </w:r>
      <w:r w:rsidR="00A47966" w:rsidRPr="0093023A">
        <w:rPr>
          <w:rFonts w:cs="Arial"/>
          <w:szCs w:val="22"/>
        </w:rPr>
        <w:t>. godinu</w:t>
      </w:r>
    </w:p>
    <w:p w:rsidR="00A47966" w:rsidRPr="0093023A" w:rsidRDefault="00A47966" w:rsidP="00CB2164">
      <w:pPr>
        <w:pStyle w:val="Odlomakpopisa"/>
        <w:numPr>
          <w:ilvl w:val="0"/>
          <w:numId w:val="25"/>
        </w:numPr>
        <w:rPr>
          <w:rFonts w:cs="Arial"/>
          <w:b/>
          <w:szCs w:val="22"/>
        </w:rPr>
      </w:pPr>
      <w:r w:rsidRPr="0093023A">
        <w:rPr>
          <w:rFonts w:cs="Arial"/>
          <w:szCs w:val="22"/>
        </w:rPr>
        <w:t xml:space="preserve">obrazovanje </w:t>
      </w:r>
      <w:r w:rsidR="0005119F" w:rsidRPr="0093023A">
        <w:rPr>
          <w:rFonts w:cs="Arial"/>
          <w:szCs w:val="22"/>
        </w:rPr>
        <w:t xml:space="preserve">(šifra09) </w:t>
      </w:r>
      <w:r w:rsidR="00CB2164" w:rsidRPr="0093023A">
        <w:rPr>
          <w:rFonts w:cs="Arial"/>
          <w:szCs w:val="22"/>
        </w:rPr>
        <w:t>iskazuje značajno povećanje od 7.021.354,1</w:t>
      </w:r>
      <w:r w:rsidR="00FD1BCC">
        <w:rPr>
          <w:rFonts w:cs="Arial"/>
          <w:szCs w:val="22"/>
        </w:rPr>
        <w:t>3</w:t>
      </w:r>
      <w:r w:rsidR="00CB2164" w:rsidRPr="0093023A">
        <w:rPr>
          <w:rFonts w:cs="Arial"/>
          <w:szCs w:val="22"/>
        </w:rPr>
        <w:t>eur</w:t>
      </w:r>
    </w:p>
    <w:p w:rsidR="00A47966" w:rsidRPr="0093023A" w:rsidRDefault="00A47966" w:rsidP="00E01F39">
      <w:pPr>
        <w:pStyle w:val="Odlomakpopisa"/>
        <w:numPr>
          <w:ilvl w:val="0"/>
          <w:numId w:val="25"/>
        </w:numPr>
        <w:rPr>
          <w:rFonts w:cs="Arial"/>
          <w:b/>
          <w:szCs w:val="22"/>
        </w:rPr>
      </w:pPr>
      <w:r w:rsidRPr="0093023A">
        <w:rPr>
          <w:rFonts w:cs="Arial"/>
          <w:szCs w:val="22"/>
        </w:rPr>
        <w:t xml:space="preserve">socijalna zaštita </w:t>
      </w:r>
      <w:r w:rsidR="0005119F" w:rsidRPr="0093023A">
        <w:rPr>
          <w:rFonts w:cs="Arial"/>
          <w:szCs w:val="22"/>
        </w:rPr>
        <w:t xml:space="preserve">(šifra10) </w:t>
      </w:r>
      <w:r w:rsidR="00CB2164" w:rsidRPr="0093023A">
        <w:rPr>
          <w:rFonts w:cs="Arial"/>
          <w:szCs w:val="22"/>
        </w:rPr>
        <w:t>je povećana za 5,9</w:t>
      </w:r>
      <w:r w:rsidRPr="0093023A">
        <w:rPr>
          <w:rFonts w:cs="Arial"/>
          <w:szCs w:val="22"/>
        </w:rPr>
        <w:t>%</w:t>
      </w:r>
      <w:r w:rsidR="00E37071" w:rsidRPr="0093023A">
        <w:rPr>
          <w:rFonts w:cs="Arial"/>
          <w:szCs w:val="22"/>
        </w:rPr>
        <w:t>.</w:t>
      </w:r>
    </w:p>
    <w:p w:rsidR="00E37071" w:rsidRPr="0093023A" w:rsidRDefault="00E37071" w:rsidP="00E37071">
      <w:pPr>
        <w:pStyle w:val="Odlomakpopisa"/>
        <w:ind w:left="1440"/>
        <w:rPr>
          <w:rFonts w:cs="Arial"/>
          <w:b/>
          <w:szCs w:val="22"/>
        </w:rPr>
      </w:pPr>
    </w:p>
    <w:p w:rsidR="008045BC" w:rsidRPr="0093023A" w:rsidRDefault="00BC1A16" w:rsidP="008045BC">
      <w:pPr>
        <w:rPr>
          <w:rFonts w:cs="Arial"/>
          <w:szCs w:val="22"/>
        </w:rPr>
      </w:pPr>
      <w:r w:rsidRPr="0093023A">
        <w:rPr>
          <w:rFonts w:cs="Arial"/>
          <w:szCs w:val="22"/>
        </w:rPr>
        <w:t xml:space="preserve">Izvještaj o rashodima po funkcijskoj klasifikaciji popunjen je na temelju ostvarenih rashoda poslovanja i rashoda za nabavu nefinancijske imovine i odgovara razlici iznosa iskazanih na  </w:t>
      </w:r>
      <w:r w:rsidR="00A47966" w:rsidRPr="0093023A">
        <w:rPr>
          <w:rFonts w:cs="Arial"/>
          <w:szCs w:val="22"/>
        </w:rPr>
        <w:t>Y034</w:t>
      </w:r>
      <w:r w:rsidRPr="0093023A">
        <w:rPr>
          <w:rFonts w:cs="Arial"/>
          <w:szCs w:val="22"/>
        </w:rPr>
        <w:t xml:space="preserve"> Ukupni rashodi i </w:t>
      </w:r>
      <w:r w:rsidR="00A47966" w:rsidRPr="0093023A">
        <w:rPr>
          <w:rFonts w:cs="Arial"/>
          <w:szCs w:val="22"/>
        </w:rPr>
        <w:t>Šifra367</w:t>
      </w:r>
      <w:r w:rsidRPr="0093023A">
        <w:rPr>
          <w:rFonts w:cs="Arial"/>
          <w:szCs w:val="22"/>
        </w:rPr>
        <w:t xml:space="preserve"> Prijenosi proračunskim korisnicima iz nadležnog proračuna za financiranje redovne djelatnosti (</w:t>
      </w:r>
      <w:r w:rsidR="00A47966" w:rsidRPr="0093023A">
        <w:rPr>
          <w:rFonts w:cs="Arial"/>
          <w:szCs w:val="22"/>
        </w:rPr>
        <w:t>Y034- šifra367)</w:t>
      </w:r>
      <w:r w:rsidRPr="0093023A">
        <w:rPr>
          <w:rFonts w:cs="Arial"/>
          <w:szCs w:val="22"/>
        </w:rPr>
        <w:t xml:space="preserve"> u Obrascu PR-RAS.</w:t>
      </w:r>
    </w:p>
    <w:p w:rsidR="008045BC" w:rsidRPr="00F90C49" w:rsidRDefault="008045BC" w:rsidP="008045BC">
      <w:pPr>
        <w:rPr>
          <w:color w:val="2E74B5" w:themeColor="accent1" w:themeShade="BF"/>
        </w:rPr>
      </w:pPr>
    </w:p>
    <w:p w:rsidR="006E52BA" w:rsidRDefault="006E52BA" w:rsidP="008045BC"/>
    <w:p w:rsidR="008045BC" w:rsidRDefault="008045BC" w:rsidP="008045BC">
      <w:pPr>
        <w:spacing w:line="360" w:lineRule="auto"/>
      </w:pPr>
      <w:r>
        <w:t>U  Puli, 14.02.202</w:t>
      </w:r>
      <w:r w:rsidR="006E52BA">
        <w:t>4</w:t>
      </w:r>
      <w:r>
        <w:t xml:space="preserve">.                                    </w:t>
      </w:r>
    </w:p>
    <w:p w:rsidR="008045BC" w:rsidRPr="00AE0DF8" w:rsidRDefault="008045BC" w:rsidP="008045BC">
      <w:pPr>
        <w:spacing w:line="360" w:lineRule="auto"/>
        <w:rPr>
          <w:b/>
        </w:rPr>
      </w:pPr>
      <w:r w:rsidRPr="00AE0DF8">
        <w:rPr>
          <w:b/>
        </w:rPr>
        <w:t xml:space="preserve">Osoba za kontakt                    </w:t>
      </w:r>
      <w:r w:rsidR="00AE0DF8">
        <w:rPr>
          <w:b/>
        </w:rPr>
        <w:t xml:space="preserve">                                       </w:t>
      </w:r>
      <w:r w:rsidRPr="00AE0DF8">
        <w:rPr>
          <w:b/>
        </w:rPr>
        <w:t xml:space="preserve">Zakonski predstavnik </w:t>
      </w:r>
    </w:p>
    <w:p w:rsidR="008045BC" w:rsidRDefault="00AE0DF8" w:rsidP="0093023A">
      <w:pPr>
        <w:pStyle w:val="Bezproreda"/>
        <w:jc w:val="left"/>
      </w:pPr>
      <w:r>
        <w:t>Voditeljica odsjeka za računovodstvo</w:t>
      </w:r>
      <w:r w:rsidR="008045BC">
        <w:t xml:space="preserve"> </w:t>
      </w:r>
      <w:r>
        <w:t xml:space="preserve"> </w:t>
      </w:r>
      <w:r w:rsidR="0093023A">
        <w:t xml:space="preserve">                            Župan</w:t>
      </w:r>
      <w:r>
        <w:t xml:space="preserve">                                                             </w:t>
      </w:r>
      <w:r w:rsidR="008045BC">
        <w:t xml:space="preserve">                                                                                                                                                                                            </w:t>
      </w:r>
      <w:r>
        <w:t xml:space="preserve">Patricia Zagorc Licul                 </w:t>
      </w:r>
      <w:r w:rsidR="008045BC">
        <w:t xml:space="preserve">                                       Boris Miletić            </w:t>
      </w:r>
    </w:p>
    <w:p w:rsidR="00463199" w:rsidRDefault="00463199" w:rsidP="002A793A">
      <w:pPr>
        <w:spacing w:line="360" w:lineRule="auto"/>
        <w:rPr>
          <w:b/>
        </w:rPr>
      </w:pPr>
    </w:p>
    <w:p w:rsidR="00463199" w:rsidRDefault="00463199" w:rsidP="002A793A">
      <w:pPr>
        <w:spacing w:line="360" w:lineRule="auto"/>
        <w:rPr>
          <w:b/>
        </w:rPr>
      </w:pPr>
    </w:p>
    <w:p w:rsidR="00463199" w:rsidRDefault="00463199" w:rsidP="002A793A">
      <w:pPr>
        <w:spacing w:line="360" w:lineRule="auto"/>
        <w:rPr>
          <w:b/>
        </w:rPr>
      </w:pPr>
    </w:p>
    <w:p w:rsidR="002A793A" w:rsidRPr="00AE0DF8" w:rsidRDefault="002A793A" w:rsidP="002A793A">
      <w:pPr>
        <w:spacing w:line="360" w:lineRule="auto"/>
        <w:rPr>
          <w:b/>
        </w:rPr>
      </w:pPr>
      <w:r w:rsidRPr="00AE0DF8">
        <w:rPr>
          <w:b/>
        </w:rPr>
        <w:t>Prilog bilješkama:</w:t>
      </w:r>
    </w:p>
    <w:p w:rsidR="002A793A" w:rsidRDefault="00AE0DF8" w:rsidP="002A793A">
      <w:pPr>
        <w:pStyle w:val="Odlomakpopisa"/>
        <w:numPr>
          <w:ilvl w:val="0"/>
          <w:numId w:val="24"/>
        </w:numPr>
      </w:pPr>
      <w:r>
        <w:t xml:space="preserve">Popis </w:t>
      </w:r>
      <w:r w:rsidR="008B3AA1">
        <w:t xml:space="preserve">potencijalnih </w:t>
      </w:r>
      <w:r>
        <w:t xml:space="preserve">sudskih </w:t>
      </w:r>
      <w:r w:rsidR="002A793A">
        <w:t>sporova u tijeku</w:t>
      </w:r>
    </w:p>
    <w:p w:rsidR="002A793A" w:rsidRDefault="002A793A" w:rsidP="002A793A">
      <w:pPr>
        <w:pStyle w:val="Odlomakpopisa"/>
        <w:numPr>
          <w:ilvl w:val="0"/>
          <w:numId w:val="24"/>
        </w:numPr>
      </w:pPr>
      <w:r>
        <w:t>Popis primljenih instrumenata osiguranja plaćanja</w:t>
      </w:r>
    </w:p>
    <w:p w:rsidR="008045BC" w:rsidRPr="008045BC" w:rsidRDefault="002A793A" w:rsidP="002A793A">
      <w:pPr>
        <w:pStyle w:val="Odlomakpopisa"/>
        <w:numPr>
          <w:ilvl w:val="0"/>
          <w:numId w:val="24"/>
        </w:numPr>
      </w:pPr>
      <w:r>
        <w:t>Popis danih instrumenata osiguranja plaćanja</w:t>
      </w:r>
    </w:p>
    <w:sectPr w:rsidR="008045BC" w:rsidRPr="008045BC" w:rsidSect="009742E8">
      <w:footerReference w:type="default" r:id="rId11"/>
      <w:headerReference w:type="first" r:id="rId12"/>
      <w:footerReference w:type="first" r:id="rId13"/>
      <w:pgSz w:w="11907" w:h="16840" w:code="9"/>
      <w:pgMar w:top="1440" w:right="1440" w:bottom="1276" w:left="1440" w:header="720" w:footer="87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5FC" w:rsidRDefault="00E325FC">
      <w:r>
        <w:separator/>
      </w:r>
    </w:p>
  </w:endnote>
  <w:endnote w:type="continuationSeparator" w:id="0">
    <w:p w:rsidR="00E325FC" w:rsidRDefault="00E3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rste Book">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FC" w:rsidRDefault="00E325FC">
    <w:pPr>
      <w:pStyle w:val="Podnoje"/>
    </w:pPr>
    <w:r>
      <w:t xml:space="preserve">                                                            </w:t>
    </w:r>
  </w:p>
  <w:p w:rsidR="00E325FC" w:rsidRDefault="00E325F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FC" w:rsidRDefault="00E325FC" w:rsidP="00E2580B">
    <w:pPr>
      <w:pStyle w:val="Podnoje"/>
      <w:jc w:val="center"/>
      <w:rPr>
        <w:noProof/>
        <w:lang w:eastAsia="hr-HR"/>
      </w:rPr>
    </w:pPr>
  </w:p>
  <w:p w:rsidR="00E325FC" w:rsidRDefault="00E325FC" w:rsidP="00E2580B">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5FC" w:rsidRDefault="00E325FC">
      <w:r>
        <w:separator/>
      </w:r>
    </w:p>
  </w:footnote>
  <w:footnote w:type="continuationSeparator" w:id="0">
    <w:p w:rsidR="00E325FC" w:rsidRDefault="00E32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5FC" w:rsidRPr="009742E8" w:rsidRDefault="00E325FC" w:rsidP="009742E8">
    <w:r>
      <w:rPr>
        <w:noProof/>
        <w:lang w:eastAsia="hr-HR"/>
      </w:rPr>
      <w:drawing>
        <wp:inline distT="0" distB="0" distL="0" distR="0" wp14:anchorId="7AE97E55" wp14:editId="6AA08121">
          <wp:extent cx="2011854" cy="1353429"/>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aglavlje.png"/>
                  <pic:cNvPicPr/>
                </pic:nvPicPr>
                <pic:blipFill>
                  <a:blip r:embed="rId1">
                    <a:extLst>
                      <a:ext uri="{28A0092B-C50C-407E-A947-70E740481C1C}">
                        <a14:useLocalDpi xmlns:a14="http://schemas.microsoft.com/office/drawing/2010/main" val="0"/>
                      </a:ext>
                    </a:extLst>
                  </a:blip>
                  <a:stretch>
                    <a:fillRect/>
                  </a:stretch>
                </pic:blipFill>
                <pic:spPr>
                  <a:xfrm>
                    <a:off x="0" y="0"/>
                    <a:ext cx="2011854" cy="1353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07B13C6A"/>
    <w:multiLevelType w:val="hybridMultilevel"/>
    <w:tmpl w:val="E6DAC0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777DB8"/>
    <w:multiLevelType w:val="hybridMultilevel"/>
    <w:tmpl w:val="632ACE16"/>
    <w:lvl w:ilvl="0" w:tplc="5568F8F4">
      <w:numFmt w:val="bullet"/>
      <w:lvlText w:val="-"/>
      <w:lvlJc w:val="left"/>
      <w:pPr>
        <w:tabs>
          <w:tab w:val="num" w:pos="780"/>
        </w:tabs>
        <w:ind w:left="780" w:hanging="360"/>
      </w:pPr>
      <w:rPr>
        <w:rFonts w:ascii="Arial" w:eastAsia="Times New Roman" w:hAnsi="Arial" w:cs="Aria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4" w15:restartNumberingAfterBreak="0">
    <w:nsid w:val="17926630"/>
    <w:multiLevelType w:val="hybridMultilevel"/>
    <w:tmpl w:val="E2AC5D76"/>
    <w:lvl w:ilvl="0" w:tplc="B85E86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6"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2228029B"/>
    <w:multiLevelType w:val="hybridMultilevel"/>
    <w:tmpl w:val="EE082B96"/>
    <w:lvl w:ilvl="0" w:tplc="CCEAC3D6">
      <w:start w:val="1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9" w15:restartNumberingAfterBreak="0">
    <w:nsid w:val="31AC61B5"/>
    <w:multiLevelType w:val="hybridMultilevel"/>
    <w:tmpl w:val="11D8133A"/>
    <w:lvl w:ilvl="0" w:tplc="BC5E024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7A62916"/>
    <w:multiLevelType w:val="hybridMultilevel"/>
    <w:tmpl w:val="806ADA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9301326"/>
    <w:multiLevelType w:val="hybridMultilevel"/>
    <w:tmpl w:val="C8921DC8"/>
    <w:lvl w:ilvl="0" w:tplc="B85E86EE">
      <w:numFmt w:val="bullet"/>
      <w:lvlText w:val="-"/>
      <w:lvlJc w:val="left"/>
      <w:pPr>
        <w:ind w:left="2220" w:hanging="360"/>
      </w:pPr>
      <w:rPr>
        <w:rFonts w:ascii="Times New Roman" w:eastAsia="Times New Roman" w:hAnsi="Times New Roman" w:cs="Times New Roman" w:hint="default"/>
      </w:rPr>
    </w:lvl>
    <w:lvl w:ilvl="1" w:tplc="041A0003" w:tentative="1">
      <w:start w:val="1"/>
      <w:numFmt w:val="bullet"/>
      <w:lvlText w:val="o"/>
      <w:lvlJc w:val="left"/>
      <w:pPr>
        <w:ind w:left="2940" w:hanging="360"/>
      </w:pPr>
      <w:rPr>
        <w:rFonts w:ascii="Courier New" w:hAnsi="Courier New" w:cs="Courier New" w:hint="default"/>
      </w:rPr>
    </w:lvl>
    <w:lvl w:ilvl="2" w:tplc="041A0005" w:tentative="1">
      <w:start w:val="1"/>
      <w:numFmt w:val="bullet"/>
      <w:lvlText w:val=""/>
      <w:lvlJc w:val="left"/>
      <w:pPr>
        <w:ind w:left="3660" w:hanging="360"/>
      </w:pPr>
      <w:rPr>
        <w:rFonts w:ascii="Wingdings" w:hAnsi="Wingdings" w:hint="default"/>
      </w:rPr>
    </w:lvl>
    <w:lvl w:ilvl="3" w:tplc="041A0001" w:tentative="1">
      <w:start w:val="1"/>
      <w:numFmt w:val="bullet"/>
      <w:lvlText w:val=""/>
      <w:lvlJc w:val="left"/>
      <w:pPr>
        <w:ind w:left="4380" w:hanging="360"/>
      </w:pPr>
      <w:rPr>
        <w:rFonts w:ascii="Symbol" w:hAnsi="Symbol" w:hint="default"/>
      </w:rPr>
    </w:lvl>
    <w:lvl w:ilvl="4" w:tplc="041A0003" w:tentative="1">
      <w:start w:val="1"/>
      <w:numFmt w:val="bullet"/>
      <w:lvlText w:val="o"/>
      <w:lvlJc w:val="left"/>
      <w:pPr>
        <w:ind w:left="5100" w:hanging="360"/>
      </w:pPr>
      <w:rPr>
        <w:rFonts w:ascii="Courier New" w:hAnsi="Courier New" w:cs="Courier New" w:hint="default"/>
      </w:rPr>
    </w:lvl>
    <w:lvl w:ilvl="5" w:tplc="041A0005" w:tentative="1">
      <w:start w:val="1"/>
      <w:numFmt w:val="bullet"/>
      <w:lvlText w:val=""/>
      <w:lvlJc w:val="left"/>
      <w:pPr>
        <w:ind w:left="5820" w:hanging="360"/>
      </w:pPr>
      <w:rPr>
        <w:rFonts w:ascii="Wingdings" w:hAnsi="Wingdings" w:hint="default"/>
      </w:rPr>
    </w:lvl>
    <w:lvl w:ilvl="6" w:tplc="041A0001" w:tentative="1">
      <w:start w:val="1"/>
      <w:numFmt w:val="bullet"/>
      <w:lvlText w:val=""/>
      <w:lvlJc w:val="left"/>
      <w:pPr>
        <w:ind w:left="6540" w:hanging="360"/>
      </w:pPr>
      <w:rPr>
        <w:rFonts w:ascii="Symbol" w:hAnsi="Symbol" w:hint="default"/>
      </w:rPr>
    </w:lvl>
    <w:lvl w:ilvl="7" w:tplc="041A0003" w:tentative="1">
      <w:start w:val="1"/>
      <w:numFmt w:val="bullet"/>
      <w:lvlText w:val="o"/>
      <w:lvlJc w:val="left"/>
      <w:pPr>
        <w:ind w:left="7260" w:hanging="360"/>
      </w:pPr>
      <w:rPr>
        <w:rFonts w:ascii="Courier New" w:hAnsi="Courier New" w:cs="Courier New" w:hint="default"/>
      </w:rPr>
    </w:lvl>
    <w:lvl w:ilvl="8" w:tplc="041A0005" w:tentative="1">
      <w:start w:val="1"/>
      <w:numFmt w:val="bullet"/>
      <w:lvlText w:val=""/>
      <w:lvlJc w:val="left"/>
      <w:pPr>
        <w:ind w:left="7980" w:hanging="360"/>
      </w:pPr>
      <w:rPr>
        <w:rFonts w:ascii="Wingdings" w:hAnsi="Wingdings" w:hint="default"/>
      </w:rPr>
    </w:lvl>
  </w:abstractNum>
  <w:abstractNum w:abstractNumId="12" w15:restartNumberingAfterBreak="0">
    <w:nsid w:val="39F77F4A"/>
    <w:multiLevelType w:val="hybridMultilevel"/>
    <w:tmpl w:val="40C094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E186B69"/>
    <w:multiLevelType w:val="hybridMultilevel"/>
    <w:tmpl w:val="322E7BB4"/>
    <w:lvl w:ilvl="0" w:tplc="BC5E024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EE92953"/>
    <w:multiLevelType w:val="hybridMultilevel"/>
    <w:tmpl w:val="2FFE6E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0AD5DBC"/>
    <w:multiLevelType w:val="hybridMultilevel"/>
    <w:tmpl w:val="A0FA17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17" w15:restartNumberingAfterBreak="0">
    <w:nsid w:val="494F28E4"/>
    <w:multiLevelType w:val="hybridMultilevel"/>
    <w:tmpl w:val="089A76E2"/>
    <w:lvl w:ilvl="0" w:tplc="F0429998">
      <w:numFmt w:val="bullet"/>
      <w:lvlText w:val="-"/>
      <w:lvlJc w:val="left"/>
      <w:pPr>
        <w:tabs>
          <w:tab w:val="num" w:pos="960"/>
        </w:tabs>
        <w:ind w:left="960" w:hanging="360"/>
      </w:pPr>
      <w:rPr>
        <w:rFonts w:ascii="Arial" w:eastAsia="Times New Roman" w:hAnsi="Arial" w:cs="Arial" w:hint="default"/>
      </w:rPr>
    </w:lvl>
    <w:lvl w:ilvl="1" w:tplc="041A0003" w:tentative="1">
      <w:start w:val="1"/>
      <w:numFmt w:val="bullet"/>
      <w:lvlText w:val="o"/>
      <w:lvlJc w:val="left"/>
      <w:pPr>
        <w:tabs>
          <w:tab w:val="num" w:pos="1680"/>
        </w:tabs>
        <w:ind w:left="1680" w:hanging="360"/>
      </w:pPr>
      <w:rPr>
        <w:rFonts w:ascii="Courier New" w:hAnsi="Courier New" w:cs="Courier New" w:hint="default"/>
      </w:rPr>
    </w:lvl>
    <w:lvl w:ilvl="2" w:tplc="041A0005" w:tentative="1">
      <w:start w:val="1"/>
      <w:numFmt w:val="bullet"/>
      <w:lvlText w:val=""/>
      <w:lvlJc w:val="left"/>
      <w:pPr>
        <w:tabs>
          <w:tab w:val="num" w:pos="2400"/>
        </w:tabs>
        <w:ind w:left="2400" w:hanging="360"/>
      </w:pPr>
      <w:rPr>
        <w:rFonts w:ascii="Wingdings" w:hAnsi="Wingdings" w:hint="default"/>
      </w:rPr>
    </w:lvl>
    <w:lvl w:ilvl="3" w:tplc="041A0001" w:tentative="1">
      <w:start w:val="1"/>
      <w:numFmt w:val="bullet"/>
      <w:lvlText w:val=""/>
      <w:lvlJc w:val="left"/>
      <w:pPr>
        <w:tabs>
          <w:tab w:val="num" w:pos="3120"/>
        </w:tabs>
        <w:ind w:left="3120" w:hanging="360"/>
      </w:pPr>
      <w:rPr>
        <w:rFonts w:ascii="Symbol" w:hAnsi="Symbol" w:hint="default"/>
      </w:rPr>
    </w:lvl>
    <w:lvl w:ilvl="4" w:tplc="041A0003" w:tentative="1">
      <w:start w:val="1"/>
      <w:numFmt w:val="bullet"/>
      <w:lvlText w:val="o"/>
      <w:lvlJc w:val="left"/>
      <w:pPr>
        <w:tabs>
          <w:tab w:val="num" w:pos="3840"/>
        </w:tabs>
        <w:ind w:left="3840" w:hanging="360"/>
      </w:pPr>
      <w:rPr>
        <w:rFonts w:ascii="Courier New" w:hAnsi="Courier New" w:cs="Courier New" w:hint="default"/>
      </w:rPr>
    </w:lvl>
    <w:lvl w:ilvl="5" w:tplc="041A0005" w:tentative="1">
      <w:start w:val="1"/>
      <w:numFmt w:val="bullet"/>
      <w:lvlText w:val=""/>
      <w:lvlJc w:val="left"/>
      <w:pPr>
        <w:tabs>
          <w:tab w:val="num" w:pos="4560"/>
        </w:tabs>
        <w:ind w:left="4560" w:hanging="360"/>
      </w:pPr>
      <w:rPr>
        <w:rFonts w:ascii="Wingdings" w:hAnsi="Wingdings" w:hint="default"/>
      </w:rPr>
    </w:lvl>
    <w:lvl w:ilvl="6" w:tplc="041A0001" w:tentative="1">
      <w:start w:val="1"/>
      <w:numFmt w:val="bullet"/>
      <w:lvlText w:val=""/>
      <w:lvlJc w:val="left"/>
      <w:pPr>
        <w:tabs>
          <w:tab w:val="num" w:pos="5280"/>
        </w:tabs>
        <w:ind w:left="5280" w:hanging="360"/>
      </w:pPr>
      <w:rPr>
        <w:rFonts w:ascii="Symbol" w:hAnsi="Symbol" w:hint="default"/>
      </w:rPr>
    </w:lvl>
    <w:lvl w:ilvl="7" w:tplc="041A0003" w:tentative="1">
      <w:start w:val="1"/>
      <w:numFmt w:val="bullet"/>
      <w:lvlText w:val="o"/>
      <w:lvlJc w:val="left"/>
      <w:pPr>
        <w:tabs>
          <w:tab w:val="num" w:pos="6000"/>
        </w:tabs>
        <w:ind w:left="6000" w:hanging="360"/>
      </w:pPr>
      <w:rPr>
        <w:rFonts w:ascii="Courier New" w:hAnsi="Courier New" w:cs="Courier New" w:hint="default"/>
      </w:rPr>
    </w:lvl>
    <w:lvl w:ilvl="8" w:tplc="041A0005" w:tentative="1">
      <w:start w:val="1"/>
      <w:numFmt w:val="bullet"/>
      <w:lvlText w:val=""/>
      <w:lvlJc w:val="left"/>
      <w:pPr>
        <w:tabs>
          <w:tab w:val="num" w:pos="6720"/>
        </w:tabs>
        <w:ind w:left="6720" w:hanging="360"/>
      </w:pPr>
      <w:rPr>
        <w:rFonts w:ascii="Wingdings" w:hAnsi="Wingdings" w:hint="default"/>
      </w:rPr>
    </w:lvl>
  </w:abstractNum>
  <w:abstractNum w:abstractNumId="18"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9" w15:restartNumberingAfterBreak="0">
    <w:nsid w:val="54C00F0F"/>
    <w:multiLevelType w:val="hybridMultilevel"/>
    <w:tmpl w:val="3E467510"/>
    <w:lvl w:ilvl="0" w:tplc="B85E86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61030BB9"/>
    <w:multiLevelType w:val="hybridMultilevel"/>
    <w:tmpl w:val="8CA66152"/>
    <w:lvl w:ilvl="0" w:tplc="7A00D14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23"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77F124D8"/>
    <w:multiLevelType w:val="hybridMultilevel"/>
    <w:tmpl w:val="011839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F2A4C47"/>
    <w:multiLevelType w:val="hybridMultilevel"/>
    <w:tmpl w:val="85081440"/>
    <w:lvl w:ilvl="0" w:tplc="309C285C">
      <w:start w:val="1"/>
      <w:numFmt w:val="decimal"/>
      <w:lvlText w:val="%1."/>
      <w:lvlJc w:val="left"/>
      <w:pPr>
        <w:ind w:left="1440" w:hanging="360"/>
      </w:pPr>
      <w:rPr>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3"/>
  </w:num>
  <w:num w:numId="2">
    <w:abstractNumId w:val="22"/>
  </w:num>
  <w:num w:numId="3">
    <w:abstractNumId w:val="16"/>
  </w:num>
  <w:num w:numId="4">
    <w:abstractNumId w:val="5"/>
  </w:num>
  <w:num w:numId="5">
    <w:abstractNumId w:val="6"/>
  </w:num>
  <w:num w:numId="6">
    <w:abstractNumId w:val="18"/>
  </w:num>
  <w:num w:numId="7">
    <w:abstractNumId w:val="0"/>
  </w:num>
  <w:num w:numId="8">
    <w:abstractNumId w:val="8"/>
  </w:num>
  <w:num w:numId="9">
    <w:abstractNumId w:val="23"/>
  </w:num>
  <w:num w:numId="10">
    <w:abstractNumId w:val="20"/>
  </w:num>
  <w:num w:numId="11">
    <w:abstractNumId w:val="14"/>
  </w:num>
  <w:num w:numId="12">
    <w:abstractNumId w:val="1"/>
  </w:num>
  <w:num w:numId="13">
    <w:abstractNumId w:val="13"/>
  </w:num>
  <w:num w:numId="14">
    <w:abstractNumId w:val="9"/>
  </w:num>
  <w:num w:numId="15">
    <w:abstractNumId w:val="2"/>
  </w:num>
  <w:num w:numId="16">
    <w:abstractNumId w:val="17"/>
  </w:num>
  <w:num w:numId="17">
    <w:abstractNumId w:val="21"/>
  </w:num>
  <w:num w:numId="18">
    <w:abstractNumId w:val="4"/>
  </w:num>
  <w:num w:numId="19">
    <w:abstractNumId w:val="10"/>
  </w:num>
  <w:num w:numId="20">
    <w:abstractNumId w:val="15"/>
  </w:num>
  <w:num w:numId="21">
    <w:abstractNumId w:val="19"/>
  </w:num>
  <w:num w:numId="22">
    <w:abstractNumId w:val="7"/>
  </w:num>
  <w:num w:numId="23">
    <w:abstractNumId w:val="24"/>
  </w:num>
  <w:num w:numId="24">
    <w:abstractNumId w:val="12"/>
  </w:num>
  <w:num w:numId="25">
    <w:abstractNumId w:val="2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56"/>
    <w:rsid w:val="000032F8"/>
    <w:rsid w:val="000034E0"/>
    <w:rsid w:val="00010AF2"/>
    <w:rsid w:val="00011534"/>
    <w:rsid w:val="00030480"/>
    <w:rsid w:val="000400CB"/>
    <w:rsid w:val="00042443"/>
    <w:rsid w:val="00043298"/>
    <w:rsid w:val="000453E1"/>
    <w:rsid w:val="00045A76"/>
    <w:rsid w:val="00046F96"/>
    <w:rsid w:val="0005119F"/>
    <w:rsid w:val="000546C3"/>
    <w:rsid w:val="00057106"/>
    <w:rsid w:val="00064513"/>
    <w:rsid w:val="00067BA1"/>
    <w:rsid w:val="00071BAF"/>
    <w:rsid w:val="0008468F"/>
    <w:rsid w:val="00085315"/>
    <w:rsid w:val="000933CF"/>
    <w:rsid w:val="000940F2"/>
    <w:rsid w:val="000A0410"/>
    <w:rsid w:val="000A3150"/>
    <w:rsid w:val="000A65D2"/>
    <w:rsid w:val="000C7C8E"/>
    <w:rsid w:val="000D6125"/>
    <w:rsid w:val="000E2398"/>
    <w:rsid w:val="000E5D90"/>
    <w:rsid w:val="000E5EE8"/>
    <w:rsid w:val="000F1D61"/>
    <w:rsid w:val="00102269"/>
    <w:rsid w:val="00107612"/>
    <w:rsid w:val="001119F4"/>
    <w:rsid w:val="00130965"/>
    <w:rsid w:val="00134CF2"/>
    <w:rsid w:val="00135447"/>
    <w:rsid w:val="001531E0"/>
    <w:rsid w:val="00193572"/>
    <w:rsid w:val="00193B9C"/>
    <w:rsid w:val="001940D6"/>
    <w:rsid w:val="00195F73"/>
    <w:rsid w:val="00197FCF"/>
    <w:rsid w:val="001A3280"/>
    <w:rsid w:val="001C0AD3"/>
    <w:rsid w:val="001C2A89"/>
    <w:rsid w:val="001D1C85"/>
    <w:rsid w:val="001D55E4"/>
    <w:rsid w:val="001E1E3B"/>
    <w:rsid w:val="001E2EF2"/>
    <w:rsid w:val="001F4364"/>
    <w:rsid w:val="001F451B"/>
    <w:rsid w:val="001F46AE"/>
    <w:rsid w:val="00202EA4"/>
    <w:rsid w:val="002136A1"/>
    <w:rsid w:val="0024012F"/>
    <w:rsid w:val="002601FF"/>
    <w:rsid w:val="00260614"/>
    <w:rsid w:val="002618D6"/>
    <w:rsid w:val="002629C2"/>
    <w:rsid w:val="0026677D"/>
    <w:rsid w:val="002937F5"/>
    <w:rsid w:val="00297721"/>
    <w:rsid w:val="002A22F6"/>
    <w:rsid w:val="002A71DA"/>
    <w:rsid w:val="002A793A"/>
    <w:rsid w:val="002B23D0"/>
    <w:rsid w:val="002C364F"/>
    <w:rsid w:val="002C4841"/>
    <w:rsid w:val="002C61C9"/>
    <w:rsid w:val="002C6DA6"/>
    <w:rsid w:val="002D7514"/>
    <w:rsid w:val="002E2B5A"/>
    <w:rsid w:val="002E53FD"/>
    <w:rsid w:val="002E768E"/>
    <w:rsid w:val="002F09DD"/>
    <w:rsid w:val="00310607"/>
    <w:rsid w:val="003203C8"/>
    <w:rsid w:val="003326B8"/>
    <w:rsid w:val="003357C8"/>
    <w:rsid w:val="00340D6C"/>
    <w:rsid w:val="0034709C"/>
    <w:rsid w:val="00360C92"/>
    <w:rsid w:val="00366D0E"/>
    <w:rsid w:val="00381986"/>
    <w:rsid w:val="00385FB0"/>
    <w:rsid w:val="0039007C"/>
    <w:rsid w:val="00392232"/>
    <w:rsid w:val="003C1485"/>
    <w:rsid w:val="003C3EA4"/>
    <w:rsid w:val="003D00EB"/>
    <w:rsid w:val="003E03A1"/>
    <w:rsid w:val="003E06E3"/>
    <w:rsid w:val="003E0AB0"/>
    <w:rsid w:val="003E46B4"/>
    <w:rsid w:val="003F3437"/>
    <w:rsid w:val="003F676F"/>
    <w:rsid w:val="003F7935"/>
    <w:rsid w:val="003F7C09"/>
    <w:rsid w:val="00413037"/>
    <w:rsid w:val="00415F11"/>
    <w:rsid w:val="00416CAE"/>
    <w:rsid w:val="004177CD"/>
    <w:rsid w:val="004304E8"/>
    <w:rsid w:val="004419F9"/>
    <w:rsid w:val="00442EB9"/>
    <w:rsid w:val="004438C3"/>
    <w:rsid w:val="00444E39"/>
    <w:rsid w:val="00445C2F"/>
    <w:rsid w:val="00450102"/>
    <w:rsid w:val="00461F98"/>
    <w:rsid w:val="00463199"/>
    <w:rsid w:val="00467CF3"/>
    <w:rsid w:val="00470103"/>
    <w:rsid w:val="00472230"/>
    <w:rsid w:val="00472A38"/>
    <w:rsid w:val="004927B3"/>
    <w:rsid w:val="004A79CD"/>
    <w:rsid w:val="004B0391"/>
    <w:rsid w:val="004B2302"/>
    <w:rsid w:val="004B2428"/>
    <w:rsid w:val="004B3E1B"/>
    <w:rsid w:val="004B5317"/>
    <w:rsid w:val="004D310C"/>
    <w:rsid w:val="004D3408"/>
    <w:rsid w:val="004D5D36"/>
    <w:rsid w:val="004E3897"/>
    <w:rsid w:val="004E4253"/>
    <w:rsid w:val="004E5911"/>
    <w:rsid w:val="004E5944"/>
    <w:rsid w:val="004E7869"/>
    <w:rsid w:val="004F13D1"/>
    <w:rsid w:val="004F3276"/>
    <w:rsid w:val="004F3DBC"/>
    <w:rsid w:val="004F3EFD"/>
    <w:rsid w:val="004F6F69"/>
    <w:rsid w:val="00512D1C"/>
    <w:rsid w:val="00521265"/>
    <w:rsid w:val="00533257"/>
    <w:rsid w:val="005474CF"/>
    <w:rsid w:val="005560E1"/>
    <w:rsid w:val="005568E3"/>
    <w:rsid w:val="00560B10"/>
    <w:rsid w:val="00572921"/>
    <w:rsid w:val="00576D45"/>
    <w:rsid w:val="00582C18"/>
    <w:rsid w:val="00591FDF"/>
    <w:rsid w:val="00593C5F"/>
    <w:rsid w:val="00594362"/>
    <w:rsid w:val="005A381F"/>
    <w:rsid w:val="005A536A"/>
    <w:rsid w:val="005B4CF6"/>
    <w:rsid w:val="005B6013"/>
    <w:rsid w:val="005B79CB"/>
    <w:rsid w:val="005D0482"/>
    <w:rsid w:val="005E1E7B"/>
    <w:rsid w:val="005E6627"/>
    <w:rsid w:val="005F12D3"/>
    <w:rsid w:val="005F4ECF"/>
    <w:rsid w:val="005F660D"/>
    <w:rsid w:val="006147CC"/>
    <w:rsid w:val="00614B93"/>
    <w:rsid w:val="00625D51"/>
    <w:rsid w:val="00627FD5"/>
    <w:rsid w:val="00661329"/>
    <w:rsid w:val="00667467"/>
    <w:rsid w:val="006762A7"/>
    <w:rsid w:val="00684BA7"/>
    <w:rsid w:val="006879AE"/>
    <w:rsid w:val="00690C4C"/>
    <w:rsid w:val="006A0B91"/>
    <w:rsid w:val="006A1367"/>
    <w:rsid w:val="006B169D"/>
    <w:rsid w:val="006B626E"/>
    <w:rsid w:val="006B7427"/>
    <w:rsid w:val="006C25D1"/>
    <w:rsid w:val="006C2DFF"/>
    <w:rsid w:val="006C5C5A"/>
    <w:rsid w:val="006D25B9"/>
    <w:rsid w:val="006D6AE3"/>
    <w:rsid w:val="006D78DE"/>
    <w:rsid w:val="006E11F2"/>
    <w:rsid w:val="006E3788"/>
    <w:rsid w:val="006E52BA"/>
    <w:rsid w:val="006F2749"/>
    <w:rsid w:val="006F35B8"/>
    <w:rsid w:val="006F3A38"/>
    <w:rsid w:val="006F5AE9"/>
    <w:rsid w:val="007029AD"/>
    <w:rsid w:val="00704B59"/>
    <w:rsid w:val="00704B68"/>
    <w:rsid w:val="0070705C"/>
    <w:rsid w:val="00724B6A"/>
    <w:rsid w:val="007266F7"/>
    <w:rsid w:val="00732083"/>
    <w:rsid w:val="007414F7"/>
    <w:rsid w:val="00741A28"/>
    <w:rsid w:val="00754721"/>
    <w:rsid w:val="00757F64"/>
    <w:rsid w:val="007609A6"/>
    <w:rsid w:val="00762A28"/>
    <w:rsid w:val="00770373"/>
    <w:rsid w:val="007752C2"/>
    <w:rsid w:val="007829D5"/>
    <w:rsid w:val="0078551E"/>
    <w:rsid w:val="007A1593"/>
    <w:rsid w:val="007A4603"/>
    <w:rsid w:val="007A5480"/>
    <w:rsid w:val="007B3C8F"/>
    <w:rsid w:val="007D20A2"/>
    <w:rsid w:val="007D32DF"/>
    <w:rsid w:val="007E6D24"/>
    <w:rsid w:val="007F2F38"/>
    <w:rsid w:val="007F764B"/>
    <w:rsid w:val="00800F9A"/>
    <w:rsid w:val="008019E5"/>
    <w:rsid w:val="008032C1"/>
    <w:rsid w:val="008045BC"/>
    <w:rsid w:val="00810C39"/>
    <w:rsid w:val="00813076"/>
    <w:rsid w:val="0082190E"/>
    <w:rsid w:val="00826854"/>
    <w:rsid w:val="008275DD"/>
    <w:rsid w:val="00835576"/>
    <w:rsid w:val="008355E7"/>
    <w:rsid w:val="00837293"/>
    <w:rsid w:val="00856AD6"/>
    <w:rsid w:val="008676FA"/>
    <w:rsid w:val="00880B69"/>
    <w:rsid w:val="00880EA8"/>
    <w:rsid w:val="00881383"/>
    <w:rsid w:val="00882FE8"/>
    <w:rsid w:val="0089232C"/>
    <w:rsid w:val="00892B7B"/>
    <w:rsid w:val="0089701F"/>
    <w:rsid w:val="008A0558"/>
    <w:rsid w:val="008A2017"/>
    <w:rsid w:val="008A2054"/>
    <w:rsid w:val="008B1F34"/>
    <w:rsid w:val="008B3744"/>
    <w:rsid w:val="008B3AA1"/>
    <w:rsid w:val="008B62E7"/>
    <w:rsid w:val="008C2D19"/>
    <w:rsid w:val="008D37DC"/>
    <w:rsid w:val="008E4FFC"/>
    <w:rsid w:val="00902B2A"/>
    <w:rsid w:val="009031EF"/>
    <w:rsid w:val="009143EB"/>
    <w:rsid w:val="009228BB"/>
    <w:rsid w:val="00926D1B"/>
    <w:rsid w:val="0093023A"/>
    <w:rsid w:val="00942333"/>
    <w:rsid w:val="00946648"/>
    <w:rsid w:val="00955CA0"/>
    <w:rsid w:val="0096151D"/>
    <w:rsid w:val="00970225"/>
    <w:rsid w:val="009742E8"/>
    <w:rsid w:val="00983688"/>
    <w:rsid w:val="009900C6"/>
    <w:rsid w:val="009A1ACA"/>
    <w:rsid w:val="009A40EF"/>
    <w:rsid w:val="009B064C"/>
    <w:rsid w:val="009B6516"/>
    <w:rsid w:val="009C4B9C"/>
    <w:rsid w:val="009D0278"/>
    <w:rsid w:val="009D4DA8"/>
    <w:rsid w:val="009D6827"/>
    <w:rsid w:val="009F14E0"/>
    <w:rsid w:val="009F1EB0"/>
    <w:rsid w:val="00A06BC1"/>
    <w:rsid w:val="00A106AD"/>
    <w:rsid w:val="00A138B6"/>
    <w:rsid w:val="00A26205"/>
    <w:rsid w:val="00A36999"/>
    <w:rsid w:val="00A41AAF"/>
    <w:rsid w:val="00A4489C"/>
    <w:rsid w:val="00A45AC4"/>
    <w:rsid w:val="00A46378"/>
    <w:rsid w:val="00A47966"/>
    <w:rsid w:val="00A47BFC"/>
    <w:rsid w:val="00A50D73"/>
    <w:rsid w:val="00A52C4E"/>
    <w:rsid w:val="00A567B2"/>
    <w:rsid w:val="00A56859"/>
    <w:rsid w:val="00A6105F"/>
    <w:rsid w:val="00A64E66"/>
    <w:rsid w:val="00A650AF"/>
    <w:rsid w:val="00A73E8E"/>
    <w:rsid w:val="00A846ED"/>
    <w:rsid w:val="00A852CA"/>
    <w:rsid w:val="00A86B3C"/>
    <w:rsid w:val="00A92BC8"/>
    <w:rsid w:val="00A92E64"/>
    <w:rsid w:val="00A93DE2"/>
    <w:rsid w:val="00AB1012"/>
    <w:rsid w:val="00AD0F11"/>
    <w:rsid w:val="00AD12E7"/>
    <w:rsid w:val="00AD24D3"/>
    <w:rsid w:val="00AD5A9A"/>
    <w:rsid w:val="00AE09AE"/>
    <w:rsid w:val="00AE0DF8"/>
    <w:rsid w:val="00AF240E"/>
    <w:rsid w:val="00AF40E8"/>
    <w:rsid w:val="00B071FC"/>
    <w:rsid w:val="00B16EA8"/>
    <w:rsid w:val="00B353DF"/>
    <w:rsid w:val="00B42773"/>
    <w:rsid w:val="00B43CAF"/>
    <w:rsid w:val="00B50DDB"/>
    <w:rsid w:val="00B57517"/>
    <w:rsid w:val="00B57B01"/>
    <w:rsid w:val="00B661F3"/>
    <w:rsid w:val="00B71682"/>
    <w:rsid w:val="00B80BD6"/>
    <w:rsid w:val="00B81B83"/>
    <w:rsid w:val="00B85AB6"/>
    <w:rsid w:val="00BB0B07"/>
    <w:rsid w:val="00BC1A16"/>
    <w:rsid w:val="00BC3B6E"/>
    <w:rsid w:val="00BC4617"/>
    <w:rsid w:val="00BC5183"/>
    <w:rsid w:val="00BD21D7"/>
    <w:rsid w:val="00BE1289"/>
    <w:rsid w:val="00BE57A7"/>
    <w:rsid w:val="00BF609B"/>
    <w:rsid w:val="00C05CB6"/>
    <w:rsid w:val="00C17CC4"/>
    <w:rsid w:val="00C30FFC"/>
    <w:rsid w:val="00C3197B"/>
    <w:rsid w:val="00C34AAF"/>
    <w:rsid w:val="00C439DB"/>
    <w:rsid w:val="00C4419F"/>
    <w:rsid w:val="00C52551"/>
    <w:rsid w:val="00C63786"/>
    <w:rsid w:val="00C65EBC"/>
    <w:rsid w:val="00C85A8C"/>
    <w:rsid w:val="00C86A83"/>
    <w:rsid w:val="00C94AE1"/>
    <w:rsid w:val="00CB2164"/>
    <w:rsid w:val="00CB3B8E"/>
    <w:rsid w:val="00CC078D"/>
    <w:rsid w:val="00CC11E9"/>
    <w:rsid w:val="00CC5952"/>
    <w:rsid w:val="00CD124B"/>
    <w:rsid w:val="00CF7126"/>
    <w:rsid w:val="00D05B55"/>
    <w:rsid w:val="00D15B3E"/>
    <w:rsid w:val="00D2321B"/>
    <w:rsid w:val="00D260B1"/>
    <w:rsid w:val="00D265B5"/>
    <w:rsid w:val="00D3607E"/>
    <w:rsid w:val="00D52C5D"/>
    <w:rsid w:val="00D60CFC"/>
    <w:rsid w:val="00D71A75"/>
    <w:rsid w:val="00D733F2"/>
    <w:rsid w:val="00D73CA8"/>
    <w:rsid w:val="00D73D17"/>
    <w:rsid w:val="00D76109"/>
    <w:rsid w:val="00D904D6"/>
    <w:rsid w:val="00D90ECD"/>
    <w:rsid w:val="00D918F1"/>
    <w:rsid w:val="00D94C54"/>
    <w:rsid w:val="00D94C91"/>
    <w:rsid w:val="00D94E13"/>
    <w:rsid w:val="00DC617B"/>
    <w:rsid w:val="00DD6FB1"/>
    <w:rsid w:val="00DE1212"/>
    <w:rsid w:val="00DF171A"/>
    <w:rsid w:val="00E0024D"/>
    <w:rsid w:val="00E01F39"/>
    <w:rsid w:val="00E078D8"/>
    <w:rsid w:val="00E21B38"/>
    <w:rsid w:val="00E236FC"/>
    <w:rsid w:val="00E24581"/>
    <w:rsid w:val="00E24A55"/>
    <w:rsid w:val="00E2580B"/>
    <w:rsid w:val="00E27A7F"/>
    <w:rsid w:val="00E30A05"/>
    <w:rsid w:val="00E325FC"/>
    <w:rsid w:val="00E37071"/>
    <w:rsid w:val="00E40404"/>
    <w:rsid w:val="00E51B4E"/>
    <w:rsid w:val="00E6726B"/>
    <w:rsid w:val="00E7207B"/>
    <w:rsid w:val="00E732C7"/>
    <w:rsid w:val="00E7420D"/>
    <w:rsid w:val="00E857E0"/>
    <w:rsid w:val="00E87234"/>
    <w:rsid w:val="00E941ED"/>
    <w:rsid w:val="00E94B43"/>
    <w:rsid w:val="00EA0EB3"/>
    <w:rsid w:val="00EA4847"/>
    <w:rsid w:val="00EB43CF"/>
    <w:rsid w:val="00EF0CC5"/>
    <w:rsid w:val="00EF318D"/>
    <w:rsid w:val="00F042C0"/>
    <w:rsid w:val="00F045C7"/>
    <w:rsid w:val="00F167D3"/>
    <w:rsid w:val="00F20F31"/>
    <w:rsid w:val="00F25646"/>
    <w:rsid w:val="00F31AC9"/>
    <w:rsid w:val="00F442A2"/>
    <w:rsid w:val="00F4602D"/>
    <w:rsid w:val="00F50016"/>
    <w:rsid w:val="00F5048D"/>
    <w:rsid w:val="00F57945"/>
    <w:rsid w:val="00F57B04"/>
    <w:rsid w:val="00F63B7C"/>
    <w:rsid w:val="00F71E72"/>
    <w:rsid w:val="00F73F56"/>
    <w:rsid w:val="00F80573"/>
    <w:rsid w:val="00F85F0E"/>
    <w:rsid w:val="00F90C49"/>
    <w:rsid w:val="00F9297E"/>
    <w:rsid w:val="00FA3F4E"/>
    <w:rsid w:val="00FB2F82"/>
    <w:rsid w:val="00FC0779"/>
    <w:rsid w:val="00FC7861"/>
    <w:rsid w:val="00FD1BCC"/>
    <w:rsid w:val="00FE713A"/>
    <w:rsid w:val="00FE7686"/>
    <w:rsid w:val="00FE793E"/>
    <w:rsid w:val="00FF71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4D85CAB9-D39E-42D7-B55F-D8BE35FA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2E8"/>
    <w:pPr>
      <w:jc w:val="both"/>
    </w:pPr>
    <w:rPr>
      <w:rFonts w:ascii="Arial" w:hAnsi="Arial"/>
      <w:sz w:val="22"/>
      <w:lang w:eastAsia="en-US"/>
    </w:rPr>
  </w:style>
  <w:style w:type="paragraph" w:styleId="Naslov3">
    <w:name w:val="heading 3"/>
    <w:basedOn w:val="Normal"/>
    <w:next w:val="Normal"/>
    <w:link w:val="Naslov3Char"/>
    <w:qFormat/>
    <w:rsid w:val="008045BC"/>
    <w:pPr>
      <w:keepNext/>
      <w:spacing w:before="240" w:after="60"/>
      <w:jc w:val="left"/>
      <w:outlineLvl w:val="2"/>
    </w:pPr>
    <w:rPr>
      <w:rFonts w:cs="Arial"/>
      <w:b/>
      <w:bCs/>
      <w:sz w:val="26"/>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pPr>
      <w:tabs>
        <w:tab w:val="center" w:pos="4153"/>
        <w:tab w:val="right" w:pos="8306"/>
      </w:tabs>
    </w:pPr>
  </w:style>
  <w:style w:type="character" w:styleId="Brojstranice">
    <w:name w:val="page number"/>
    <w:basedOn w:val="Zadanifontodlomka"/>
  </w:style>
  <w:style w:type="paragraph" w:styleId="Podnoje">
    <w:name w:val="footer"/>
    <w:basedOn w:val="Normal"/>
    <w:link w:val="PodnojeChar"/>
    <w:uiPriority w:val="99"/>
    <w:pPr>
      <w:tabs>
        <w:tab w:val="center" w:pos="4153"/>
        <w:tab w:val="right" w:pos="8306"/>
      </w:tabs>
    </w:pPr>
  </w:style>
  <w:style w:type="character" w:styleId="Tekstrezerviranogmjesta">
    <w:name w:val="Placeholder Text"/>
    <w:uiPriority w:val="99"/>
    <w:semiHidden/>
    <w:rsid w:val="00043298"/>
    <w:rPr>
      <w:color w:val="808080"/>
    </w:rPr>
  </w:style>
  <w:style w:type="character" w:customStyle="1" w:styleId="ZaglavljeChar">
    <w:name w:val="Zaglavlje Char"/>
    <w:basedOn w:val="Zadanifontodlomka"/>
    <w:link w:val="Zaglavlje"/>
    <w:uiPriority w:val="99"/>
    <w:rsid w:val="00892B7B"/>
    <w:rPr>
      <w:rFonts w:ascii="Arial" w:hAnsi="Arial"/>
      <w:sz w:val="22"/>
      <w:lang w:eastAsia="en-US"/>
    </w:rPr>
  </w:style>
  <w:style w:type="character" w:customStyle="1" w:styleId="PodnojeChar">
    <w:name w:val="Podnožje Char"/>
    <w:basedOn w:val="Zadanifontodlomka"/>
    <w:link w:val="Podnoje"/>
    <w:uiPriority w:val="99"/>
    <w:rsid w:val="006F2749"/>
    <w:rPr>
      <w:rFonts w:ascii="Arial" w:hAnsi="Arial"/>
      <w:sz w:val="22"/>
      <w:lang w:eastAsia="en-US"/>
    </w:rPr>
  </w:style>
  <w:style w:type="paragraph" w:styleId="Tijeloteksta3">
    <w:name w:val="Body Text 3"/>
    <w:basedOn w:val="Normal"/>
    <w:link w:val="Tijeloteksta3Char"/>
    <w:semiHidden/>
    <w:rsid w:val="004B2428"/>
    <w:pPr>
      <w:spacing w:after="200" w:line="276" w:lineRule="auto"/>
    </w:pPr>
    <w:rPr>
      <w:rFonts w:eastAsia="Calibri" w:cs="Arial"/>
      <w:color w:val="FF0000"/>
      <w:sz w:val="20"/>
      <w:lang w:val="af-ZA"/>
    </w:rPr>
  </w:style>
  <w:style w:type="character" w:customStyle="1" w:styleId="Tijeloteksta3Char">
    <w:name w:val="Tijelo teksta 3 Char"/>
    <w:basedOn w:val="Zadanifontodlomka"/>
    <w:link w:val="Tijeloteksta3"/>
    <w:semiHidden/>
    <w:rsid w:val="004B2428"/>
    <w:rPr>
      <w:rFonts w:ascii="Arial" w:eastAsia="Calibri" w:hAnsi="Arial" w:cs="Arial"/>
      <w:color w:val="FF0000"/>
      <w:lang w:val="af-ZA" w:eastAsia="en-US"/>
    </w:rPr>
  </w:style>
  <w:style w:type="paragraph" w:styleId="Odlomakpopisa">
    <w:name w:val="List Paragraph"/>
    <w:basedOn w:val="Normal"/>
    <w:uiPriority w:val="34"/>
    <w:qFormat/>
    <w:rsid w:val="004B2428"/>
    <w:pPr>
      <w:ind w:left="720"/>
      <w:contextualSpacing/>
    </w:pPr>
  </w:style>
  <w:style w:type="paragraph" w:styleId="Tekstbalonia">
    <w:name w:val="Balloon Text"/>
    <w:basedOn w:val="Normal"/>
    <w:link w:val="TekstbaloniaChar"/>
    <w:semiHidden/>
    <w:unhideWhenUsed/>
    <w:rsid w:val="004B242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2428"/>
    <w:rPr>
      <w:rFonts w:ascii="Segoe UI" w:hAnsi="Segoe UI" w:cs="Segoe UI"/>
      <w:sz w:val="18"/>
      <w:szCs w:val="18"/>
      <w:lang w:eastAsia="en-US"/>
    </w:rPr>
  </w:style>
  <w:style w:type="paragraph" w:customStyle="1" w:styleId="Default">
    <w:name w:val="Default"/>
    <w:rsid w:val="00D94E13"/>
    <w:pPr>
      <w:autoSpaceDE w:val="0"/>
      <w:autoSpaceDN w:val="0"/>
      <w:adjustRightInd w:val="0"/>
    </w:pPr>
    <w:rPr>
      <w:rFonts w:ascii="Erste Book" w:hAnsi="Erste Book" w:cs="Erste Book"/>
      <w:color w:val="000000"/>
      <w:sz w:val="24"/>
      <w:szCs w:val="24"/>
    </w:rPr>
  </w:style>
  <w:style w:type="paragraph" w:customStyle="1" w:styleId="Pa3">
    <w:name w:val="Pa3"/>
    <w:basedOn w:val="Default"/>
    <w:next w:val="Default"/>
    <w:uiPriority w:val="99"/>
    <w:rsid w:val="00D94E13"/>
    <w:pPr>
      <w:spacing w:line="151" w:lineRule="atLeast"/>
    </w:pPr>
    <w:rPr>
      <w:rFonts w:cs="Times New Roman"/>
      <w:color w:val="auto"/>
    </w:rPr>
  </w:style>
  <w:style w:type="character" w:customStyle="1" w:styleId="A2">
    <w:name w:val="A2"/>
    <w:uiPriority w:val="99"/>
    <w:rsid w:val="00D94E13"/>
    <w:rPr>
      <w:rFonts w:cs="Erste Book"/>
      <w:color w:val="000000"/>
      <w:sz w:val="30"/>
      <w:szCs w:val="30"/>
    </w:rPr>
  </w:style>
  <w:style w:type="character" w:customStyle="1" w:styleId="Naslov3Char">
    <w:name w:val="Naslov 3 Char"/>
    <w:basedOn w:val="Zadanifontodlomka"/>
    <w:link w:val="Naslov3"/>
    <w:rsid w:val="008045BC"/>
    <w:rPr>
      <w:rFonts w:ascii="Arial" w:hAnsi="Arial" w:cs="Arial"/>
      <w:b/>
      <w:bCs/>
      <w:sz w:val="26"/>
      <w:szCs w:val="26"/>
    </w:rPr>
  </w:style>
  <w:style w:type="paragraph" w:styleId="Bezproreda">
    <w:name w:val="No Spacing"/>
    <w:uiPriority w:val="1"/>
    <w:qFormat/>
    <w:rsid w:val="0093023A"/>
    <w:pPr>
      <w:jc w:val="both"/>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69">
      <w:bodyDiv w:val="1"/>
      <w:marLeft w:val="0"/>
      <w:marRight w:val="0"/>
      <w:marTop w:val="0"/>
      <w:marBottom w:val="0"/>
      <w:divBdr>
        <w:top w:val="none" w:sz="0" w:space="0" w:color="auto"/>
        <w:left w:val="none" w:sz="0" w:space="0" w:color="auto"/>
        <w:bottom w:val="none" w:sz="0" w:space="0" w:color="auto"/>
        <w:right w:val="none" w:sz="0" w:space="0" w:color="auto"/>
      </w:divBdr>
    </w:div>
    <w:div w:id="1010782">
      <w:bodyDiv w:val="1"/>
      <w:marLeft w:val="0"/>
      <w:marRight w:val="0"/>
      <w:marTop w:val="0"/>
      <w:marBottom w:val="0"/>
      <w:divBdr>
        <w:top w:val="none" w:sz="0" w:space="0" w:color="auto"/>
        <w:left w:val="none" w:sz="0" w:space="0" w:color="auto"/>
        <w:bottom w:val="none" w:sz="0" w:space="0" w:color="auto"/>
        <w:right w:val="none" w:sz="0" w:space="0" w:color="auto"/>
      </w:divBdr>
    </w:div>
    <w:div w:id="36438983">
      <w:bodyDiv w:val="1"/>
      <w:marLeft w:val="0"/>
      <w:marRight w:val="0"/>
      <w:marTop w:val="0"/>
      <w:marBottom w:val="0"/>
      <w:divBdr>
        <w:top w:val="none" w:sz="0" w:space="0" w:color="auto"/>
        <w:left w:val="none" w:sz="0" w:space="0" w:color="auto"/>
        <w:bottom w:val="none" w:sz="0" w:space="0" w:color="auto"/>
        <w:right w:val="none" w:sz="0" w:space="0" w:color="auto"/>
      </w:divBdr>
    </w:div>
    <w:div w:id="117066123">
      <w:bodyDiv w:val="1"/>
      <w:marLeft w:val="0"/>
      <w:marRight w:val="0"/>
      <w:marTop w:val="0"/>
      <w:marBottom w:val="0"/>
      <w:divBdr>
        <w:top w:val="none" w:sz="0" w:space="0" w:color="auto"/>
        <w:left w:val="none" w:sz="0" w:space="0" w:color="auto"/>
        <w:bottom w:val="none" w:sz="0" w:space="0" w:color="auto"/>
        <w:right w:val="none" w:sz="0" w:space="0" w:color="auto"/>
      </w:divBdr>
    </w:div>
    <w:div w:id="206381268">
      <w:bodyDiv w:val="1"/>
      <w:marLeft w:val="0"/>
      <w:marRight w:val="0"/>
      <w:marTop w:val="0"/>
      <w:marBottom w:val="0"/>
      <w:divBdr>
        <w:top w:val="none" w:sz="0" w:space="0" w:color="auto"/>
        <w:left w:val="none" w:sz="0" w:space="0" w:color="auto"/>
        <w:bottom w:val="none" w:sz="0" w:space="0" w:color="auto"/>
        <w:right w:val="none" w:sz="0" w:space="0" w:color="auto"/>
      </w:divBdr>
    </w:div>
    <w:div w:id="244389155">
      <w:bodyDiv w:val="1"/>
      <w:marLeft w:val="0"/>
      <w:marRight w:val="0"/>
      <w:marTop w:val="0"/>
      <w:marBottom w:val="0"/>
      <w:divBdr>
        <w:top w:val="none" w:sz="0" w:space="0" w:color="auto"/>
        <w:left w:val="none" w:sz="0" w:space="0" w:color="auto"/>
        <w:bottom w:val="none" w:sz="0" w:space="0" w:color="auto"/>
        <w:right w:val="none" w:sz="0" w:space="0" w:color="auto"/>
      </w:divBdr>
    </w:div>
    <w:div w:id="293407535">
      <w:bodyDiv w:val="1"/>
      <w:marLeft w:val="0"/>
      <w:marRight w:val="0"/>
      <w:marTop w:val="0"/>
      <w:marBottom w:val="0"/>
      <w:divBdr>
        <w:top w:val="none" w:sz="0" w:space="0" w:color="auto"/>
        <w:left w:val="none" w:sz="0" w:space="0" w:color="auto"/>
        <w:bottom w:val="none" w:sz="0" w:space="0" w:color="auto"/>
        <w:right w:val="none" w:sz="0" w:space="0" w:color="auto"/>
      </w:divBdr>
    </w:div>
    <w:div w:id="305090456">
      <w:bodyDiv w:val="1"/>
      <w:marLeft w:val="0"/>
      <w:marRight w:val="0"/>
      <w:marTop w:val="0"/>
      <w:marBottom w:val="0"/>
      <w:divBdr>
        <w:top w:val="none" w:sz="0" w:space="0" w:color="auto"/>
        <w:left w:val="none" w:sz="0" w:space="0" w:color="auto"/>
        <w:bottom w:val="none" w:sz="0" w:space="0" w:color="auto"/>
        <w:right w:val="none" w:sz="0" w:space="0" w:color="auto"/>
      </w:divBdr>
    </w:div>
    <w:div w:id="329984215">
      <w:bodyDiv w:val="1"/>
      <w:marLeft w:val="0"/>
      <w:marRight w:val="0"/>
      <w:marTop w:val="0"/>
      <w:marBottom w:val="0"/>
      <w:divBdr>
        <w:top w:val="none" w:sz="0" w:space="0" w:color="auto"/>
        <w:left w:val="none" w:sz="0" w:space="0" w:color="auto"/>
        <w:bottom w:val="none" w:sz="0" w:space="0" w:color="auto"/>
        <w:right w:val="none" w:sz="0" w:space="0" w:color="auto"/>
      </w:divBdr>
    </w:div>
    <w:div w:id="354813309">
      <w:bodyDiv w:val="1"/>
      <w:marLeft w:val="0"/>
      <w:marRight w:val="0"/>
      <w:marTop w:val="0"/>
      <w:marBottom w:val="0"/>
      <w:divBdr>
        <w:top w:val="none" w:sz="0" w:space="0" w:color="auto"/>
        <w:left w:val="none" w:sz="0" w:space="0" w:color="auto"/>
        <w:bottom w:val="none" w:sz="0" w:space="0" w:color="auto"/>
        <w:right w:val="none" w:sz="0" w:space="0" w:color="auto"/>
      </w:divBdr>
    </w:div>
    <w:div w:id="361632181">
      <w:bodyDiv w:val="1"/>
      <w:marLeft w:val="0"/>
      <w:marRight w:val="0"/>
      <w:marTop w:val="0"/>
      <w:marBottom w:val="0"/>
      <w:divBdr>
        <w:top w:val="none" w:sz="0" w:space="0" w:color="auto"/>
        <w:left w:val="none" w:sz="0" w:space="0" w:color="auto"/>
        <w:bottom w:val="none" w:sz="0" w:space="0" w:color="auto"/>
        <w:right w:val="none" w:sz="0" w:space="0" w:color="auto"/>
      </w:divBdr>
    </w:div>
    <w:div w:id="381707917">
      <w:bodyDiv w:val="1"/>
      <w:marLeft w:val="0"/>
      <w:marRight w:val="0"/>
      <w:marTop w:val="0"/>
      <w:marBottom w:val="0"/>
      <w:divBdr>
        <w:top w:val="none" w:sz="0" w:space="0" w:color="auto"/>
        <w:left w:val="none" w:sz="0" w:space="0" w:color="auto"/>
        <w:bottom w:val="none" w:sz="0" w:space="0" w:color="auto"/>
        <w:right w:val="none" w:sz="0" w:space="0" w:color="auto"/>
      </w:divBdr>
    </w:div>
    <w:div w:id="382677745">
      <w:bodyDiv w:val="1"/>
      <w:marLeft w:val="0"/>
      <w:marRight w:val="0"/>
      <w:marTop w:val="0"/>
      <w:marBottom w:val="0"/>
      <w:divBdr>
        <w:top w:val="none" w:sz="0" w:space="0" w:color="auto"/>
        <w:left w:val="none" w:sz="0" w:space="0" w:color="auto"/>
        <w:bottom w:val="none" w:sz="0" w:space="0" w:color="auto"/>
        <w:right w:val="none" w:sz="0" w:space="0" w:color="auto"/>
      </w:divBdr>
    </w:div>
    <w:div w:id="389697753">
      <w:bodyDiv w:val="1"/>
      <w:marLeft w:val="0"/>
      <w:marRight w:val="0"/>
      <w:marTop w:val="0"/>
      <w:marBottom w:val="0"/>
      <w:divBdr>
        <w:top w:val="none" w:sz="0" w:space="0" w:color="auto"/>
        <w:left w:val="none" w:sz="0" w:space="0" w:color="auto"/>
        <w:bottom w:val="none" w:sz="0" w:space="0" w:color="auto"/>
        <w:right w:val="none" w:sz="0" w:space="0" w:color="auto"/>
      </w:divBdr>
    </w:div>
    <w:div w:id="456796886">
      <w:bodyDiv w:val="1"/>
      <w:marLeft w:val="0"/>
      <w:marRight w:val="0"/>
      <w:marTop w:val="0"/>
      <w:marBottom w:val="0"/>
      <w:divBdr>
        <w:top w:val="none" w:sz="0" w:space="0" w:color="auto"/>
        <w:left w:val="none" w:sz="0" w:space="0" w:color="auto"/>
        <w:bottom w:val="none" w:sz="0" w:space="0" w:color="auto"/>
        <w:right w:val="none" w:sz="0" w:space="0" w:color="auto"/>
      </w:divBdr>
    </w:div>
    <w:div w:id="498690909">
      <w:bodyDiv w:val="1"/>
      <w:marLeft w:val="0"/>
      <w:marRight w:val="0"/>
      <w:marTop w:val="0"/>
      <w:marBottom w:val="0"/>
      <w:divBdr>
        <w:top w:val="none" w:sz="0" w:space="0" w:color="auto"/>
        <w:left w:val="none" w:sz="0" w:space="0" w:color="auto"/>
        <w:bottom w:val="none" w:sz="0" w:space="0" w:color="auto"/>
        <w:right w:val="none" w:sz="0" w:space="0" w:color="auto"/>
      </w:divBdr>
    </w:div>
    <w:div w:id="501824778">
      <w:bodyDiv w:val="1"/>
      <w:marLeft w:val="0"/>
      <w:marRight w:val="0"/>
      <w:marTop w:val="0"/>
      <w:marBottom w:val="0"/>
      <w:divBdr>
        <w:top w:val="none" w:sz="0" w:space="0" w:color="auto"/>
        <w:left w:val="none" w:sz="0" w:space="0" w:color="auto"/>
        <w:bottom w:val="none" w:sz="0" w:space="0" w:color="auto"/>
        <w:right w:val="none" w:sz="0" w:space="0" w:color="auto"/>
      </w:divBdr>
    </w:div>
    <w:div w:id="560404398">
      <w:bodyDiv w:val="1"/>
      <w:marLeft w:val="0"/>
      <w:marRight w:val="0"/>
      <w:marTop w:val="0"/>
      <w:marBottom w:val="0"/>
      <w:divBdr>
        <w:top w:val="none" w:sz="0" w:space="0" w:color="auto"/>
        <w:left w:val="none" w:sz="0" w:space="0" w:color="auto"/>
        <w:bottom w:val="none" w:sz="0" w:space="0" w:color="auto"/>
        <w:right w:val="none" w:sz="0" w:space="0" w:color="auto"/>
      </w:divBdr>
    </w:div>
    <w:div w:id="582640045">
      <w:bodyDiv w:val="1"/>
      <w:marLeft w:val="0"/>
      <w:marRight w:val="0"/>
      <w:marTop w:val="0"/>
      <w:marBottom w:val="0"/>
      <w:divBdr>
        <w:top w:val="none" w:sz="0" w:space="0" w:color="auto"/>
        <w:left w:val="none" w:sz="0" w:space="0" w:color="auto"/>
        <w:bottom w:val="none" w:sz="0" w:space="0" w:color="auto"/>
        <w:right w:val="none" w:sz="0" w:space="0" w:color="auto"/>
      </w:divBdr>
    </w:div>
    <w:div w:id="610742018">
      <w:bodyDiv w:val="1"/>
      <w:marLeft w:val="0"/>
      <w:marRight w:val="0"/>
      <w:marTop w:val="0"/>
      <w:marBottom w:val="0"/>
      <w:divBdr>
        <w:top w:val="none" w:sz="0" w:space="0" w:color="auto"/>
        <w:left w:val="none" w:sz="0" w:space="0" w:color="auto"/>
        <w:bottom w:val="none" w:sz="0" w:space="0" w:color="auto"/>
        <w:right w:val="none" w:sz="0" w:space="0" w:color="auto"/>
      </w:divBdr>
    </w:div>
    <w:div w:id="612635126">
      <w:bodyDiv w:val="1"/>
      <w:marLeft w:val="0"/>
      <w:marRight w:val="0"/>
      <w:marTop w:val="0"/>
      <w:marBottom w:val="0"/>
      <w:divBdr>
        <w:top w:val="none" w:sz="0" w:space="0" w:color="auto"/>
        <w:left w:val="none" w:sz="0" w:space="0" w:color="auto"/>
        <w:bottom w:val="none" w:sz="0" w:space="0" w:color="auto"/>
        <w:right w:val="none" w:sz="0" w:space="0" w:color="auto"/>
      </w:divBdr>
    </w:div>
    <w:div w:id="655886915">
      <w:bodyDiv w:val="1"/>
      <w:marLeft w:val="0"/>
      <w:marRight w:val="0"/>
      <w:marTop w:val="0"/>
      <w:marBottom w:val="0"/>
      <w:divBdr>
        <w:top w:val="none" w:sz="0" w:space="0" w:color="auto"/>
        <w:left w:val="none" w:sz="0" w:space="0" w:color="auto"/>
        <w:bottom w:val="none" w:sz="0" w:space="0" w:color="auto"/>
        <w:right w:val="none" w:sz="0" w:space="0" w:color="auto"/>
      </w:divBdr>
    </w:div>
    <w:div w:id="790520098">
      <w:bodyDiv w:val="1"/>
      <w:marLeft w:val="0"/>
      <w:marRight w:val="0"/>
      <w:marTop w:val="0"/>
      <w:marBottom w:val="0"/>
      <w:divBdr>
        <w:top w:val="none" w:sz="0" w:space="0" w:color="auto"/>
        <w:left w:val="none" w:sz="0" w:space="0" w:color="auto"/>
        <w:bottom w:val="none" w:sz="0" w:space="0" w:color="auto"/>
        <w:right w:val="none" w:sz="0" w:space="0" w:color="auto"/>
      </w:divBdr>
    </w:div>
    <w:div w:id="796072339">
      <w:bodyDiv w:val="1"/>
      <w:marLeft w:val="0"/>
      <w:marRight w:val="0"/>
      <w:marTop w:val="0"/>
      <w:marBottom w:val="0"/>
      <w:divBdr>
        <w:top w:val="none" w:sz="0" w:space="0" w:color="auto"/>
        <w:left w:val="none" w:sz="0" w:space="0" w:color="auto"/>
        <w:bottom w:val="none" w:sz="0" w:space="0" w:color="auto"/>
        <w:right w:val="none" w:sz="0" w:space="0" w:color="auto"/>
      </w:divBdr>
    </w:div>
    <w:div w:id="846407655">
      <w:bodyDiv w:val="1"/>
      <w:marLeft w:val="0"/>
      <w:marRight w:val="0"/>
      <w:marTop w:val="0"/>
      <w:marBottom w:val="0"/>
      <w:divBdr>
        <w:top w:val="none" w:sz="0" w:space="0" w:color="auto"/>
        <w:left w:val="none" w:sz="0" w:space="0" w:color="auto"/>
        <w:bottom w:val="none" w:sz="0" w:space="0" w:color="auto"/>
        <w:right w:val="none" w:sz="0" w:space="0" w:color="auto"/>
      </w:divBdr>
    </w:div>
    <w:div w:id="875968512">
      <w:bodyDiv w:val="1"/>
      <w:marLeft w:val="0"/>
      <w:marRight w:val="0"/>
      <w:marTop w:val="0"/>
      <w:marBottom w:val="0"/>
      <w:divBdr>
        <w:top w:val="none" w:sz="0" w:space="0" w:color="auto"/>
        <w:left w:val="none" w:sz="0" w:space="0" w:color="auto"/>
        <w:bottom w:val="none" w:sz="0" w:space="0" w:color="auto"/>
        <w:right w:val="none" w:sz="0" w:space="0" w:color="auto"/>
      </w:divBdr>
    </w:div>
    <w:div w:id="909465305">
      <w:bodyDiv w:val="1"/>
      <w:marLeft w:val="0"/>
      <w:marRight w:val="0"/>
      <w:marTop w:val="0"/>
      <w:marBottom w:val="0"/>
      <w:divBdr>
        <w:top w:val="none" w:sz="0" w:space="0" w:color="auto"/>
        <w:left w:val="none" w:sz="0" w:space="0" w:color="auto"/>
        <w:bottom w:val="none" w:sz="0" w:space="0" w:color="auto"/>
        <w:right w:val="none" w:sz="0" w:space="0" w:color="auto"/>
      </w:divBdr>
    </w:div>
    <w:div w:id="925387080">
      <w:bodyDiv w:val="1"/>
      <w:marLeft w:val="0"/>
      <w:marRight w:val="0"/>
      <w:marTop w:val="0"/>
      <w:marBottom w:val="0"/>
      <w:divBdr>
        <w:top w:val="none" w:sz="0" w:space="0" w:color="auto"/>
        <w:left w:val="none" w:sz="0" w:space="0" w:color="auto"/>
        <w:bottom w:val="none" w:sz="0" w:space="0" w:color="auto"/>
        <w:right w:val="none" w:sz="0" w:space="0" w:color="auto"/>
      </w:divBdr>
    </w:div>
    <w:div w:id="993525987">
      <w:bodyDiv w:val="1"/>
      <w:marLeft w:val="0"/>
      <w:marRight w:val="0"/>
      <w:marTop w:val="0"/>
      <w:marBottom w:val="0"/>
      <w:divBdr>
        <w:top w:val="none" w:sz="0" w:space="0" w:color="auto"/>
        <w:left w:val="none" w:sz="0" w:space="0" w:color="auto"/>
        <w:bottom w:val="none" w:sz="0" w:space="0" w:color="auto"/>
        <w:right w:val="none" w:sz="0" w:space="0" w:color="auto"/>
      </w:divBdr>
    </w:div>
    <w:div w:id="1059859835">
      <w:bodyDiv w:val="1"/>
      <w:marLeft w:val="0"/>
      <w:marRight w:val="0"/>
      <w:marTop w:val="0"/>
      <w:marBottom w:val="0"/>
      <w:divBdr>
        <w:top w:val="none" w:sz="0" w:space="0" w:color="auto"/>
        <w:left w:val="none" w:sz="0" w:space="0" w:color="auto"/>
        <w:bottom w:val="none" w:sz="0" w:space="0" w:color="auto"/>
        <w:right w:val="none" w:sz="0" w:space="0" w:color="auto"/>
      </w:divBdr>
    </w:div>
    <w:div w:id="1074471126">
      <w:bodyDiv w:val="1"/>
      <w:marLeft w:val="0"/>
      <w:marRight w:val="0"/>
      <w:marTop w:val="0"/>
      <w:marBottom w:val="0"/>
      <w:divBdr>
        <w:top w:val="none" w:sz="0" w:space="0" w:color="auto"/>
        <w:left w:val="none" w:sz="0" w:space="0" w:color="auto"/>
        <w:bottom w:val="none" w:sz="0" w:space="0" w:color="auto"/>
        <w:right w:val="none" w:sz="0" w:space="0" w:color="auto"/>
      </w:divBdr>
    </w:div>
    <w:div w:id="1118061997">
      <w:bodyDiv w:val="1"/>
      <w:marLeft w:val="0"/>
      <w:marRight w:val="0"/>
      <w:marTop w:val="0"/>
      <w:marBottom w:val="0"/>
      <w:divBdr>
        <w:top w:val="none" w:sz="0" w:space="0" w:color="auto"/>
        <w:left w:val="none" w:sz="0" w:space="0" w:color="auto"/>
        <w:bottom w:val="none" w:sz="0" w:space="0" w:color="auto"/>
        <w:right w:val="none" w:sz="0" w:space="0" w:color="auto"/>
      </w:divBdr>
    </w:div>
    <w:div w:id="1127507278">
      <w:bodyDiv w:val="1"/>
      <w:marLeft w:val="0"/>
      <w:marRight w:val="0"/>
      <w:marTop w:val="0"/>
      <w:marBottom w:val="0"/>
      <w:divBdr>
        <w:top w:val="none" w:sz="0" w:space="0" w:color="auto"/>
        <w:left w:val="none" w:sz="0" w:space="0" w:color="auto"/>
        <w:bottom w:val="none" w:sz="0" w:space="0" w:color="auto"/>
        <w:right w:val="none" w:sz="0" w:space="0" w:color="auto"/>
      </w:divBdr>
    </w:div>
    <w:div w:id="1135758815">
      <w:bodyDiv w:val="1"/>
      <w:marLeft w:val="0"/>
      <w:marRight w:val="0"/>
      <w:marTop w:val="0"/>
      <w:marBottom w:val="0"/>
      <w:divBdr>
        <w:top w:val="none" w:sz="0" w:space="0" w:color="auto"/>
        <w:left w:val="none" w:sz="0" w:space="0" w:color="auto"/>
        <w:bottom w:val="none" w:sz="0" w:space="0" w:color="auto"/>
        <w:right w:val="none" w:sz="0" w:space="0" w:color="auto"/>
      </w:divBdr>
    </w:div>
    <w:div w:id="1153983487">
      <w:bodyDiv w:val="1"/>
      <w:marLeft w:val="0"/>
      <w:marRight w:val="0"/>
      <w:marTop w:val="0"/>
      <w:marBottom w:val="0"/>
      <w:divBdr>
        <w:top w:val="none" w:sz="0" w:space="0" w:color="auto"/>
        <w:left w:val="none" w:sz="0" w:space="0" w:color="auto"/>
        <w:bottom w:val="none" w:sz="0" w:space="0" w:color="auto"/>
        <w:right w:val="none" w:sz="0" w:space="0" w:color="auto"/>
      </w:divBdr>
    </w:div>
    <w:div w:id="1156610811">
      <w:bodyDiv w:val="1"/>
      <w:marLeft w:val="0"/>
      <w:marRight w:val="0"/>
      <w:marTop w:val="0"/>
      <w:marBottom w:val="0"/>
      <w:divBdr>
        <w:top w:val="none" w:sz="0" w:space="0" w:color="auto"/>
        <w:left w:val="none" w:sz="0" w:space="0" w:color="auto"/>
        <w:bottom w:val="none" w:sz="0" w:space="0" w:color="auto"/>
        <w:right w:val="none" w:sz="0" w:space="0" w:color="auto"/>
      </w:divBdr>
    </w:div>
    <w:div w:id="1253468466">
      <w:bodyDiv w:val="1"/>
      <w:marLeft w:val="0"/>
      <w:marRight w:val="0"/>
      <w:marTop w:val="0"/>
      <w:marBottom w:val="0"/>
      <w:divBdr>
        <w:top w:val="none" w:sz="0" w:space="0" w:color="auto"/>
        <w:left w:val="none" w:sz="0" w:space="0" w:color="auto"/>
        <w:bottom w:val="none" w:sz="0" w:space="0" w:color="auto"/>
        <w:right w:val="none" w:sz="0" w:space="0" w:color="auto"/>
      </w:divBdr>
    </w:div>
    <w:div w:id="1310594459">
      <w:bodyDiv w:val="1"/>
      <w:marLeft w:val="0"/>
      <w:marRight w:val="0"/>
      <w:marTop w:val="0"/>
      <w:marBottom w:val="0"/>
      <w:divBdr>
        <w:top w:val="none" w:sz="0" w:space="0" w:color="auto"/>
        <w:left w:val="none" w:sz="0" w:space="0" w:color="auto"/>
        <w:bottom w:val="none" w:sz="0" w:space="0" w:color="auto"/>
        <w:right w:val="none" w:sz="0" w:space="0" w:color="auto"/>
      </w:divBdr>
    </w:div>
    <w:div w:id="1315522699">
      <w:bodyDiv w:val="1"/>
      <w:marLeft w:val="0"/>
      <w:marRight w:val="0"/>
      <w:marTop w:val="0"/>
      <w:marBottom w:val="0"/>
      <w:divBdr>
        <w:top w:val="none" w:sz="0" w:space="0" w:color="auto"/>
        <w:left w:val="none" w:sz="0" w:space="0" w:color="auto"/>
        <w:bottom w:val="none" w:sz="0" w:space="0" w:color="auto"/>
        <w:right w:val="none" w:sz="0" w:space="0" w:color="auto"/>
      </w:divBdr>
    </w:div>
    <w:div w:id="1315530637">
      <w:bodyDiv w:val="1"/>
      <w:marLeft w:val="0"/>
      <w:marRight w:val="0"/>
      <w:marTop w:val="0"/>
      <w:marBottom w:val="0"/>
      <w:divBdr>
        <w:top w:val="none" w:sz="0" w:space="0" w:color="auto"/>
        <w:left w:val="none" w:sz="0" w:space="0" w:color="auto"/>
        <w:bottom w:val="none" w:sz="0" w:space="0" w:color="auto"/>
        <w:right w:val="none" w:sz="0" w:space="0" w:color="auto"/>
      </w:divBdr>
    </w:div>
    <w:div w:id="1345782199">
      <w:bodyDiv w:val="1"/>
      <w:marLeft w:val="0"/>
      <w:marRight w:val="0"/>
      <w:marTop w:val="0"/>
      <w:marBottom w:val="0"/>
      <w:divBdr>
        <w:top w:val="none" w:sz="0" w:space="0" w:color="auto"/>
        <w:left w:val="none" w:sz="0" w:space="0" w:color="auto"/>
        <w:bottom w:val="none" w:sz="0" w:space="0" w:color="auto"/>
        <w:right w:val="none" w:sz="0" w:space="0" w:color="auto"/>
      </w:divBdr>
    </w:div>
    <w:div w:id="1360738617">
      <w:bodyDiv w:val="1"/>
      <w:marLeft w:val="0"/>
      <w:marRight w:val="0"/>
      <w:marTop w:val="0"/>
      <w:marBottom w:val="0"/>
      <w:divBdr>
        <w:top w:val="none" w:sz="0" w:space="0" w:color="auto"/>
        <w:left w:val="none" w:sz="0" w:space="0" w:color="auto"/>
        <w:bottom w:val="none" w:sz="0" w:space="0" w:color="auto"/>
        <w:right w:val="none" w:sz="0" w:space="0" w:color="auto"/>
      </w:divBdr>
    </w:div>
    <w:div w:id="1366901637">
      <w:bodyDiv w:val="1"/>
      <w:marLeft w:val="0"/>
      <w:marRight w:val="0"/>
      <w:marTop w:val="0"/>
      <w:marBottom w:val="0"/>
      <w:divBdr>
        <w:top w:val="none" w:sz="0" w:space="0" w:color="auto"/>
        <w:left w:val="none" w:sz="0" w:space="0" w:color="auto"/>
        <w:bottom w:val="none" w:sz="0" w:space="0" w:color="auto"/>
        <w:right w:val="none" w:sz="0" w:space="0" w:color="auto"/>
      </w:divBdr>
    </w:div>
    <w:div w:id="1373119039">
      <w:bodyDiv w:val="1"/>
      <w:marLeft w:val="0"/>
      <w:marRight w:val="0"/>
      <w:marTop w:val="0"/>
      <w:marBottom w:val="0"/>
      <w:divBdr>
        <w:top w:val="none" w:sz="0" w:space="0" w:color="auto"/>
        <w:left w:val="none" w:sz="0" w:space="0" w:color="auto"/>
        <w:bottom w:val="none" w:sz="0" w:space="0" w:color="auto"/>
        <w:right w:val="none" w:sz="0" w:space="0" w:color="auto"/>
      </w:divBdr>
    </w:div>
    <w:div w:id="1376781354">
      <w:bodyDiv w:val="1"/>
      <w:marLeft w:val="0"/>
      <w:marRight w:val="0"/>
      <w:marTop w:val="0"/>
      <w:marBottom w:val="0"/>
      <w:divBdr>
        <w:top w:val="none" w:sz="0" w:space="0" w:color="auto"/>
        <w:left w:val="none" w:sz="0" w:space="0" w:color="auto"/>
        <w:bottom w:val="none" w:sz="0" w:space="0" w:color="auto"/>
        <w:right w:val="none" w:sz="0" w:space="0" w:color="auto"/>
      </w:divBdr>
    </w:div>
    <w:div w:id="1507598465">
      <w:bodyDiv w:val="1"/>
      <w:marLeft w:val="0"/>
      <w:marRight w:val="0"/>
      <w:marTop w:val="0"/>
      <w:marBottom w:val="0"/>
      <w:divBdr>
        <w:top w:val="none" w:sz="0" w:space="0" w:color="auto"/>
        <w:left w:val="none" w:sz="0" w:space="0" w:color="auto"/>
        <w:bottom w:val="none" w:sz="0" w:space="0" w:color="auto"/>
        <w:right w:val="none" w:sz="0" w:space="0" w:color="auto"/>
      </w:divBdr>
    </w:div>
    <w:div w:id="1522932001">
      <w:bodyDiv w:val="1"/>
      <w:marLeft w:val="0"/>
      <w:marRight w:val="0"/>
      <w:marTop w:val="0"/>
      <w:marBottom w:val="0"/>
      <w:divBdr>
        <w:top w:val="none" w:sz="0" w:space="0" w:color="auto"/>
        <w:left w:val="none" w:sz="0" w:space="0" w:color="auto"/>
        <w:bottom w:val="none" w:sz="0" w:space="0" w:color="auto"/>
        <w:right w:val="none" w:sz="0" w:space="0" w:color="auto"/>
      </w:divBdr>
    </w:div>
    <w:div w:id="1604924308">
      <w:bodyDiv w:val="1"/>
      <w:marLeft w:val="0"/>
      <w:marRight w:val="0"/>
      <w:marTop w:val="0"/>
      <w:marBottom w:val="0"/>
      <w:divBdr>
        <w:top w:val="none" w:sz="0" w:space="0" w:color="auto"/>
        <w:left w:val="none" w:sz="0" w:space="0" w:color="auto"/>
        <w:bottom w:val="none" w:sz="0" w:space="0" w:color="auto"/>
        <w:right w:val="none" w:sz="0" w:space="0" w:color="auto"/>
      </w:divBdr>
    </w:div>
    <w:div w:id="1639795468">
      <w:bodyDiv w:val="1"/>
      <w:marLeft w:val="0"/>
      <w:marRight w:val="0"/>
      <w:marTop w:val="0"/>
      <w:marBottom w:val="0"/>
      <w:divBdr>
        <w:top w:val="none" w:sz="0" w:space="0" w:color="auto"/>
        <w:left w:val="none" w:sz="0" w:space="0" w:color="auto"/>
        <w:bottom w:val="none" w:sz="0" w:space="0" w:color="auto"/>
        <w:right w:val="none" w:sz="0" w:space="0" w:color="auto"/>
      </w:divBdr>
    </w:div>
    <w:div w:id="1734541497">
      <w:bodyDiv w:val="1"/>
      <w:marLeft w:val="0"/>
      <w:marRight w:val="0"/>
      <w:marTop w:val="0"/>
      <w:marBottom w:val="0"/>
      <w:divBdr>
        <w:top w:val="none" w:sz="0" w:space="0" w:color="auto"/>
        <w:left w:val="none" w:sz="0" w:space="0" w:color="auto"/>
        <w:bottom w:val="none" w:sz="0" w:space="0" w:color="auto"/>
        <w:right w:val="none" w:sz="0" w:space="0" w:color="auto"/>
      </w:divBdr>
    </w:div>
    <w:div w:id="1739748853">
      <w:bodyDiv w:val="1"/>
      <w:marLeft w:val="0"/>
      <w:marRight w:val="0"/>
      <w:marTop w:val="0"/>
      <w:marBottom w:val="0"/>
      <w:divBdr>
        <w:top w:val="none" w:sz="0" w:space="0" w:color="auto"/>
        <w:left w:val="none" w:sz="0" w:space="0" w:color="auto"/>
        <w:bottom w:val="none" w:sz="0" w:space="0" w:color="auto"/>
        <w:right w:val="none" w:sz="0" w:space="0" w:color="auto"/>
      </w:divBdr>
    </w:div>
    <w:div w:id="1765497857">
      <w:bodyDiv w:val="1"/>
      <w:marLeft w:val="0"/>
      <w:marRight w:val="0"/>
      <w:marTop w:val="0"/>
      <w:marBottom w:val="0"/>
      <w:divBdr>
        <w:top w:val="none" w:sz="0" w:space="0" w:color="auto"/>
        <w:left w:val="none" w:sz="0" w:space="0" w:color="auto"/>
        <w:bottom w:val="none" w:sz="0" w:space="0" w:color="auto"/>
        <w:right w:val="none" w:sz="0" w:space="0" w:color="auto"/>
      </w:divBdr>
    </w:div>
    <w:div w:id="1771466643">
      <w:bodyDiv w:val="1"/>
      <w:marLeft w:val="0"/>
      <w:marRight w:val="0"/>
      <w:marTop w:val="0"/>
      <w:marBottom w:val="0"/>
      <w:divBdr>
        <w:top w:val="none" w:sz="0" w:space="0" w:color="auto"/>
        <w:left w:val="none" w:sz="0" w:space="0" w:color="auto"/>
        <w:bottom w:val="none" w:sz="0" w:space="0" w:color="auto"/>
        <w:right w:val="none" w:sz="0" w:space="0" w:color="auto"/>
      </w:divBdr>
    </w:div>
    <w:div w:id="1775710834">
      <w:bodyDiv w:val="1"/>
      <w:marLeft w:val="0"/>
      <w:marRight w:val="0"/>
      <w:marTop w:val="0"/>
      <w:marBottom w:val="0"/>
      <w:divBdr>
        <w:top w:val="none" w:sz="0" w:space="0" w:color="auto"/>
        <w:left w:val="none" w:sz="0" w:space="0" w:color="auto"/>
        <w:bottom w:val="none" w:sz="0" w:space="0" w:color="auto"/>
        <w:right w:val="none" w:sz="0" w:space="0" w:color="auto"/>
      </w:divBdr>
    </w:div>
    <w:div w:id="1784035404">
      <w:bodyDiv w:val="1"/>
      <w:marLeft w:val="0"/>
      <w:marRight w:val="0"/>
      <w:marTop w:val="0"/>
      <w:marBottom w:val="0"/>
      <w:divBdr>
        <w:top w:val="none" w:sz="0" w:space="0" w:color="auto"/>
        <w:left w:val="none" w:sz="0" w:space="0" w:color="auto"/>
        <w:bottom w:val="none" w:sz="0" w:space="0" w:color="auto"/>
        <w:right w:val="none" w:sz="0" w:space="0" w:color="auto"/>
      </w:divBdr>
    </w:div>
    <w:div w:id="1789351025">
      <w:bodyDiv w:val="1"/>
      <w:marLeft w:val="0"/>
      <w:marRight w:val="0"/>
      <w:marTop w:val="0"/>
      <w:marBottom w:val="0"/>
      <w:divBdr>
        <w:top w:val="none" w:sz="0" w:space="0" w:color="auto"/>
        <w:left w:val="none" w:sz="0" w:space="0" w:color="auto"/>
        <w:bottom w:val="none" w:sz="0" w:space="0" w:color="auto"/>
        <w:right w:val="none" w:sz="0" w:space="0" w:color="auto"/>
      </w:divBdr>
    </w:div>
    <w:div w:id="1819228591">
      <w:bodyDiv w:val="1"/>
      <w:marLeft w:val="0"/>
      <w:marRight w:val="0"/>
      <w:marTop w:val="0"/>
      <w:marBottom w:val="0"/>
      <w:divBdr>
        <w:top w:val="none" w:sz="0" w:space="0" w:color="auto"/>
        <w:left w:val="none" w:sz="0" w:space="0" w:color="auto"/>
        <w:bottom w:val="none" w:sz="0" w:space="0" w:color="auto"/>
        <w:right w:val="none" w:sz="0" w:space="0" w:color="auto"/>
      </w:divBdr>
    </w:div>
    <w:div w:id="1822887788">
      <w:bodyDiv w:val="1"/>
      <w:marLeft w:val="0"/>
      <w:marRight w:val="0"/>
      <w:marTop w:val="0"/>
      <w:marBottom w:val="0"/>
      <w:divBdr>
        <w:top w:val="none" w:sz="0" w:space="0" w:color="auto"/>
        <w:left w:val="none" w:sz="0" w:space="0" w:color="auto"/>
        <w:bottom w:val="none" w:sz="0" w:space="0" w:color="auto"/>
        <w:right w:val="none" w:sz="0" w:space="0" w:color="auto"/>
      </w:divBdr>
    </w:div>
    <w:div w:id="1854106012">
      <w:bodyDiv w:val="1"/>
      <w:marLeft w:val="0"/>
      <w:marRight w:val="0"/>
      <w:marTop w:val="0"/>
      <w:marBottom w:val="0"/>
      <w:divBdr>
        <w:top w:val="none" w:sz="0" w:space="0" w:color="auto"/>
        <w:left w:val="none" w:sz="0" w:space="0" w:color="auto"/>
        <w:bottom w:val="none" w:sz="0" w:space="0" w:color="auto"/>
        <w:right w:val="none" w:sz="0" w:space="0" w:color="auto"/>
      </w:divBdr>
    </w:div>
    <w:div w:id="1894778349">
      <w:bodyDiv w:val="1"/>
      <w:marLeft w:val="0"/>
      <w:marRight w:val="0"/>
      <w:marTop w:val="0"/>
      <w:marBottom w:val="0"/>
      <w:divBdr>
        <w:top w:val="none" w:sz="0" w:space="0" w:color="auto"/>
        <w:left w:val="none" w:sz="0" w:space="0" w:color="auto"/>
        <w:bottom w:val="none" w:sz="0" w:space="0" w:color="auto"/>
        <w:right w:val="none" w:sz="0" w:space="0" w:color="auto"/>
      </w:divBdr>
    </w:div>
    <w:div w:id="1947928195">
      <w:bodyDiv w:val="1"/>
      <w:marLeft w:val="0"/>
      <w:marRight w:val="0"/>
      <w:marTop w:val="0"/>
      <w:marBottom w:val="0"/>
      <w:divBdr>
        <w:top w:val="none" w:sz="0" w:space="0" w:color="auto"/>
        <w:left w:val="none" w:sz="0" w:space="0" w:color="auto"/>
        <w:bottom w:val="none" w:sz="0" w:space="0" w:color="auto"/>
        <w:right w:val="none" w:sz="0" w:space="0" w:color="auto"/>
      </w:divBdr>
    </w:div>
    <w:div w:id="1994216031">
      <w:bodyDiv w:val="1"/>
      <w:marLeft w:val="0"/>
      <w:marRight w:val="0"/>
      <w:marTop w:val="0"/>
      <w:marBottom w:val="0"/>
      <w:divBdr>
        <w:top w:val="none" w:sz="0" w:space="0" w:color="auto"/>
        <w:left w:val="none" w:sz="0" w:space="0" w:color="auto"/>
        <w:bottom w:val="none" w:sz="0" w:space="0" w:color="auto"/>
        <w:right w:val="none" w:sz="0" w:space="0" w:color="auto"/>
      </w:divBdr>
    </w:div>
    <w:div w:id="2003192361">
      <w:bodyDiv w:val="1"/>
      <w:marLeft w:val="0"/>
      <w:marRight w:val="0"/>
      <w:marTop w:val="0"/>
      <w:marBottom w:val="0"/>
      <w:divBdr>
        <w:top w:val="none" w:sz="0" w:space="0" w:color="auto"/>
        <w:left w:val="none" w:sz="0" w:space="0" w:color="auto"/>
        <w:bottom w:val="none" w:sz="0" w:space="0" w:color="auto"/>
        <w:right w:val="none" w:sz="0" w:space="0" w:color="auto"/>
      </w:divBdr>
    </w:div>
    <w:div w:id="2017342104">
      <w:bodyDiv w:val="1"/>
      <w:marLeft w:val="0"/>
      <w:marRight w:val="0"/>
      <w:marTop w:val="0"/>
      <w:marBottom w:val="0"/>
      <w:divBdr>
        <w:top w:val="none" w:sz="0" w:space="0" w:color="auto"/>
        <w:left w:val="none" w:sz="0" w:space="0" w:color="auto"/>
        <w:bottom w:val="none" w:sz="0" w:space="0" w:color="auto"/>
        <w:right w:val="none" w:sz="0" w:space="0" w:color="auto"/>
      </w:divBdr>
    </w:div>
    <w:div w:id="2051951975">
      <w:bodyDiv w:val="1"/>
      <w:marLeft w:val="0"/>
      <w:marRight w:val="0"/>
      <w:marTop w:val="0"/>
      <w:marBottom w:val="0"/>
      <w:divBdr>
        <w:top w:val="none" w:sz="0" w:space="0" w:color="auto"/>
        <w:left w:val="none" w:sz="0" w:space="0" w:color="auto"/>
        <w:bottom w:val="none" w:sz="0" w:space="0" w:color="auto"/>
        <w:right w:val="none" w:sz="0" w:space="0" w:color="auto"/>
      </w:divBdr>
    </w:div>
    <w:div w:id="2051999929">
      <w:bodyDiv w:val="1"/>
      <w:marLeft w:val="0"/>
      <w:marRight w:val="0"/>
      <w:marTop w:val="0"/>
      <w:marBottom w:val="0"/>
      <w:divBdr>
        <w:top w:val="none" w:sz="0" w:space="0" w:color="auto"/>
        <w:left w:val="none" w:sz="0" w:space="0" w:color="auto"/>
        <w:bottom w:val="none" w:sz="0" w:space="0" w:color="auto"/>
        <w:right w:val="none" w:sz="0" w:space="0" w:color="auto"/>
      </w:divBdr>
    </w:div>
    <w:div w:id="2068137780">
      <w:bodyDiv w:val="1"/>
      <w:marLeft w:val="0"/>
      <w:marRight w:val="0"/>
      <w:marTop w:val="0"/>
      <w:marBottom w:val="0"/>
      <w:divBdr>
        <w:top w:val="none" w:sz="0" w:space="0" w:color="auto"/>
        <w:left w:val="none" w:sz="0" w:space="0" w:color="auto"/>
        <w:bottom w:val="none" w:sz="0" w:space="0" w:color="auto"/>
        <w:right w:val="none" w:sz="0" w:space="0" w:color="auto"/>
      </w:divBdr>
    </w:div>
    <w:div w:id="2140220399">
      <w:bodyDiv w:val="1"/>
      <w:marLeft w:val="0"/>
      <w:marRight w:val="0"/>
      <w:marTop w:val="0"/>
      <w:marBottom w:val="0"/>
      <w:divBdr>
        <w:top w:val="none" w:sz="0" w:space="0" w:color="auto"/>
        <w:left w:val="none" w:sz="0" w:space="0" w:color="auto"/>
        <w:bottom w:val="none" w:sz="0" w:space="0" w:color="auto"/>
        <w:right w:val="none" w:sz="0" w:space="0" w:color="auto"/>
      </w:divBdr>
    </w:div>
    <w:div w:id="21446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Uprava_Adresa xmlns="eUprava_Adresa">Pula-Pola, Flanatička – Via Flanatica 29</eUprava_Adresa>
    <eUprava_TelefonFax xmlns="eUprava_TelefonFax">Tel: 052/352-133, Fax: 052/352-132</eUprava_TelefonFax>
    <eUprava_UpravnoTijelo xmlns="eUprava_UpravnoTijelo">Upravni odjel za proračun i financije</eUprava_UpravnoTijelo>
    <_dlc_DocId xmlns="2ca74544-49ce-4d7b-a659-982be629a9de">DOCUMENTID-742551900-260</_dlc_DocId>
    <_dlc_DocIdUrl xmlns="2ca74544-49ce-4d7b-a659-982be629a9de">
      <Url>http://euprava/sites/8/_layouts/15/DocIdRedir.aspx?ID=DOCUMENTID-742551900-260</Url>
      <Description>DOCUMENTID-742551900-260</Description>
    </_dlc_DocIdUrl>
    <eUprava_AktNaziv xmlns="eUprava_AktNaziv" xsi:nil="true"/>
    <eUpravaPotpisnik xmlns="eUpravaPotpisnik">
      <UserInfo>
        <DisplayName/>
        <AccountId xsi:nil="true"/>
        <AccountType/>
      </UserInfo>
    </eUpravaPotpisnik>
    <eUprava_PredmetKlasa xmlns="eUprava_PredmetKlasa" xsi:nil="true"/>
    <eUprava_StvarateljAkta xmlns="eUprava_StvarateljAkta" xsi:nil="true"/>
    <eUpravaPotpisano xmlns="eUpravaPotpisano" xsi:nil="true"/>
    <eUprava_UrudzbeniBroj xmlns="eUprava_UrudzbeniBroj" xsi:nil="true"/>
    <eUprava_PredmetID xmlns="eUprava_PredmetID" xsi:nil="true"/>
    <eUprava_AktLink xmlns="eUprava_AktLink">
      <Url xsi:nil="true"/>
      <Description xsi:nil="true"/>
    </eUprava_AktLink>
    <eUprava_AktID xmlns="eUprava_AktID" xsi:nil="true"/>
    <eUprava_ParentID xmlns="eUprava_ParentID" xsi:nil="true"/>
    <eUprava_Akcije xmlns="69f896a3-487a-46f5-971b-e02ab02ef53f" xsi:nil="true"/>
    <eUprava_ZaduzeniDjelatnik xmlns="eUprava_ZaduzeniDjelatnik" xsi:nil="true"/>
    <eUprava_Stranka xmlns="eUprava_Stranka"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ički obrazac" ma:contentTypeID="0x010100FFA21088A209412EAB3DC2AED20886DC0050A94D29744A471EA705C0AE1B131F290081663B21911A51449011A67DABB7AEDC" ma:contentTypeVersion="14" ma:contentTypeDescription="Stvaranje novog dokumenta." ma:contentTypeScope="" ma:versionID="40dcc4e08c164a092dc9c24d56073535">
  <xsd:schema xmlns:xsd="http://www.w3.org/2001/XMLSchema" xmlns:xs="http://www.w3.org/2001/XMLSchema" xmlns:p="http://schemas.microsoft.com/office/2006/metadata/properties" xmlns:ns2="eUprava_UrudzbeniBroj" xmlns:ns3="eUprava_PredmetID" xmlns:ns4="eUprava_PredmetKlasa" xmlns:ns5="eUprava_AktNaziv" xmlns:ns6="eUprava_AktLink" xmlns:ns7="eUprava_AktID" xmlns:ns8="eUprava_ParentID" xmlns:ns9="eUprava_StvarateljAkta" xmlns:ns10="eUprava_UpravnoTijelo" xmlns:ns11="eUprava_Adresa" xmlns:ns12="eUprava_TelefonFax" xmlns:ns13="2ca74544-49ce-4d7b-a659-982be629a9de" xmlns:ns14="eUpravaPotpisano" xmlns:ns15="eUpravaPotpisnik" xmlns:ns16="69f896a3-487a-46f5-971b-e02ab02ef53f" xmlns:ns17="eUprava_ZaduzeniDjelatnik" xmlns:ns18="eUprava_Stranka" targetNamespace="http://schemas.microsoft.com/office/2006/metadata/properties" ma:root="true" ma:fieldsID="0e5f847ca052a947b8d9fb164622c90a" ns2:_="" ns3:_="" ns4:_="" ns5:_="" ns6:_="" ns7:_="" ns8:_="" ns9:_="" ns10:_="" ns11:_="" ns12:_="" ns13:_="" ns14:_="" ns15:_="" ns16:_="" ns17:_="" ns18:_="">
    <xsd:import namespace="eUprava_UrudzbeniBroj"/>
    <xsd:import namespace="eUprava_PredmetID"/>
    <xsd:import namespace="eUprava_PredmetKlasa"/>
    <xsd:import namespace="eUprava_AktNaziv"/>
    <xsd:import namespace="eUprava_AktLink"/>
    <xsd:import namespace="eUprava_AktID"/>
    <xsd:import namespace="eUprava_ParentID"/>
    <xsd:import namespace="eUprava_StvarateljAkta"/>
    <xsd:import namespace="eUprava_UpravnoTijelo"/>
    <xsd:import namespace="eUprava_Adresa"/>
    <xsd:import namespace="eUprava_TelefonFax"/>
    <xsd:import namespace="2ca74544-49ce-4d7b-a659-982be629a9de"/>
    <xsd:import namespace="eUpravaPotpisano"/>
    <xsd:import namespace="eUpravaPotpisnik"/>
    <xsd:import namespace="69f896a3-487a-46f5-971b-e02ab02ef53f"/>
    <xsd:import namespace="eUprava_ZaduzeniDjelatnik"/>
    <xsd:import namespace="eUprava_Stranka"/>
    <xsd:element name="properties">
      <xsd:complexType>
        <xsd:sequence>
          <xsd:element name="documentManagement">
            <xsd:complexType>
              <xsd:all>
                <xsd:element ref="ns2:eUprava_UrudzbeniBroj" minOccurs="0"/>
                <xsd:element ref="ns3:eUprava_PredmetID" minOccurs="0"/>
                <xsd:element ref="ns4:eUprava_PredmetKlasa" minOccurs="0"/>
                <xsd:element ref="ns5:eUprava_AktNaziv" minOccurs="0"/>
                <xsd:element ref="ns6:eUprava_AktLink" minOccurs="0"/>
                <xsd:element ref="ns7:eUprava_AktID" minOccurs="0"/>
                <xsd:element ref="ns8:eUprava_ParentID" minOccurs="0"/>
                <xsd:element ref="ns9:eUprava_StvarateljAkta" minOccurs="0"/>
                <xsd:element ref="ns10:eUprava_UpravnoTijelo" minOccurs="0"/>
                <xsd:element ref="ns11:eUprava_Adresa" minOccurs="0"/>
                <xsd:element ref="ns12:eUprava_TelefonFax" minOccurs="0"/>
                <xsd:element ref="ns13:_dlc_DocId" minOccurs="0"/>
                <xsd:element ref="ns13:_dlc_DocIdUrl" minOccurs="0"/>
                <xsd:element ref="ns13:_dlc_DocIdPersistId" minOccurs="0"/>
                <xsd:element ref="ns14:eUpravaPotpisano" minOccurs="0"/>
                <xsd:element ref="ns15:eUpravaPotpisnik" minOccurs="0"/>
                <xsd:element ref="ns16:eUprava_Akcije" minOccurs="0"/>
                <xsd:element ref="ns17:eUprava_ZaduzeniDjelatnik" minOccurs="0"/>
                <xsd:element ref="ns18:eUprava_Stran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Uprava_UrudzbeniBroj" elementFormDefault="qualified">
    <xsd:import namespace="http://schemas.microsoft.com/office/2006/documentManagement/types"/>
    <xsd:import namespace="http://schemas.microsoft.com/office/infopath/2007/PartnerControls"/>
    <xsd:element name="eUprava_UrudzbeniBroj" ma:index="8" nillable="true" ma:displayName="Urudžbeni broj" ma:internalName="eUprava_UrudzbeniBroj">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PredmetID" elementFormDefault="qualified">
    <xsd:import namespace="http://schemas.microsoft.com/office/2006/documentManagement/types"/>
    <xsd:import namespace="http://schemas.microsoft.com/office/infopath/2007/PartnerControls"/>
    <xsd:element name="eUprava_PredmetID" ma:index="9" nillable="true" ma:displayName="Predmet ID" ma:internalName="eUprava_Predme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PredmetKlasa" elementFormDefault="qualified">
    <xsd:import namespace="http://schemas.microsoft.com/office/2006/documentManagement/types"/>
    <xsd:import namespace="http://schemas.microsoft.com/office/infopath/2007/PartnerControls"/>
    <xsd:element name="eUprava_PredmetKlasa" ma:index="10" nillable="true" ma:displayName="Predmet Klasa" ma:internalName="eUprava_PredmetKlas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AktNaziv" elementFormDefault="qualified">
    <xsd:import namespace="http://schemas.microsoft.com/office/2006/documentManagement/types"/>
    <xsd:import namespace="http://schemas.microsoft.com/office/infopath/2007/PartnerControls"/>
    <xsd:element name="eUprava_AktNaziv" ma:index="11" nillable="true" ma:displayName="Akt Naziv" ma:internalName="eUprava_AktNaziv">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AktLink" elementFormDefault="qualified">
    <xsd:import namespace="http://schemas.microsoft.com/office/2006/documentManagement/types"/>
    <xsd:import namespace="http://schemas.microsoft.com/office/infopath/2007/PartnerControls"/>
    <xsd:element name="eUprava_AktLink" ma:index="12" nillable="true" ma:displayName="Akt Link" ma:format="Hyperlink" ma:internalName="eUprava_Akt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Uprava_AktID" elementFormDefault="qualified">
    <xsd:import namespace="http://schemas.microsoft.com/office/2006/documentManagement/types"/>
    <xsd:import namespace="http://schemas.microsoft.com/office/infopath/2007/PartnerControls"/>
    <xsd:element name="eUprava_AktID" ma:index="13" nillable="true" ma:displayName="Akt ID" ma:internalName="eUprava_Ak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ParentID" elementFormDefault="qualified">
    <xsd:import namespace="http://schemas.microsoft.com/office/2006/documentManagement/types"/>
    <xsd:import namespace="http://schemas.microsoft.com/office/infopath/2007/PartnerControls"/>
    <xsd:element name="eUprava_ParentID" ma:index="14" nillable="true" ma:displayName="Parent Doc" ma:hidden="true" ma:internalName="eUprava_Par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StvarateljAkta" elementFormDefault="qualified">
    <xsd:import namespace="http://schemas.microsoft.com/office/2006/documentManagement/types"/>
    <xsd:import namespace="http://schemas.microsoft.com/office/infopath/2007/PartnerControls"/>
    <xsd:element name="eUprava_StvarateljAkta" ma:index="15" nillable="true" ma:displayName="Stvaratelj Akta" ma:internalName="eUprava_StvarateljAkt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UpravnoTijelo" elementFormDefault="qualified">
    <xsd:import namespace="http://schemas.microsoft.com/office/2006/documentManagement/types"/>
    <xsd:import namespace="http://schemas.microsoft.com/office/infopath/2007/PartnerControls"/>
    <xsd:element name="eUprava_UpravnoTijelo" ma:index="16" nillable="true" ma:displayName="Upravno tijelo" ma:internalName="eUprava_UpravnoTijel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Adresa" elementFormDefault="qualified">
    <xsd:import namespace="http://schemas.microsoft.com/office/2006/documentManagement/types"/>
    <xsd:import namespace="http://schemas.microsoft.com/office/infopath/2007/PartnerControls"/>
    <xsd:element name="eUprava_Adresa" ma:index="17" nillable="true" ma:displayName="Adresa tijela" ma:internalName="eUprava_Adres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TelefonFax" elementFormDefault="qualified">
    <xsd:import namespace="http://schemas.microsoft.com/office/2006/documentManagement/types"/>
    <xsd:import namespace="http://schemas.microsoft.com/office/infopath/2007/PartnerControls"/>
    <xsd:element name="eUprava_TelefonFax" ma:index="18" nillable="true" ma:displayName="Telefon/Fax" ma:internalName="eUprava_TelefonFax">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74544-49ce-4d7b-a659-982be629a9de" elementFormDefault="qualified">
    <xsd:import namespace="http://schemas.microsoft.com/office/2006/documentManagement/types"/>
    <xsd:import namespace="http://schemas.microsoft.com/office/infopath/2007/PartnerControls"/>
    <xsd:element name="_dlc_DocId" ma:index="19" nillable="true" ma:displayName="Vrijednost ID-a dokumenta" ma:description="Vrijednost ID-a dokumenta dodijeljenog ovoj stavci." ma:internalName="_dlc_DocId" ma:readOnly="true">
      <xsd:simpleType>
        <xsd:restriction base="dms:Text"/>
      </xsd:simpleType>
    </xsd:element>
    <xsd:element name="_dlc_DocIdUrl" ma:index="20"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UpravaPotpisano" elementFormDefault="qualified">
    <xsd:import namespace="http://schemas.microsoft.com/office/2006/documentManagement/types"/>
    <xsd:import namespace="http://schemas.microsoft.com/office/infopath/2007/PartnerControls"/>
    <xsd:element name="eUpravaPotpisano" ma:index="22" nillable="true" ma:displayName="Potpisano" ma:internalName="eUpravaPotpisan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UpravaPotpisnik" elementFormDefault="qualified">
    <xsd:import namespace="http://schemas.microsoft.com/office/2006/documentManagement/types"/>
    <xsd:import namespace="http://schemas.microsoft.com/office/infopath/2007/PartnerControls"/>
    <xsd:element name="eUpravaPotpisnik" ma:index="23" nillable="true" ma:displayName="Potpisnik" ma:internalName="eUpravaPotpis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f896a3-487a-46f5-971b-e02ab02ef53f" elementFormDefault="qualified">
    <xsd:import namespace="http://schemas.microsoft.com/office/2006/documentManagement/types"/>
    <xsd:import namespace="http://schemas.microsoft.com/office/infopath/2007/PartnerControls"/>
    <xsd:element name="eUprava_Akcije" ma:index="24" nillable="true" ma:displayName="Akcije" ma:internalName="eUprava_Akcij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Uprava_ZaduzeniDjelatnik" elementFormDefault="qualified">
    <xsd:import namespace="http://schemas.microsoft.com/office/2006/documentManagement/types"/>
    <xsd:import namespace="http://schemas.microsoft.com/office/infopath/2007/PartnerControls"/>
    <xsd:element name="eUprava_ZaduzeniDjelatnik" ma:index="25" nillable="true" ma:displayName="Zaduženi djelatnik" ma:internalName="eUprava_ZaduzeniDjelatnik">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Stranka" elementFormDefault="qualified">
    <xsd:import namespace="http://schemas.microsoft.com/office/2006/documentManagement/types"/>
    <xsd:import namespace="http://schemas.microsoft.com/office/infopath/2007/PartnerControls"/>
    <xsd:element name="eUprava_Stranka" ma:index="26" nillable="true" ma:displayName="Stranka" ma:internalName="eUprava_Strank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C575A-F29C-4F48-BE75-662501B9CBAA}">
  <ds:schemaRefs>
    <ds:schemaRef ds:uri="eUprava_AktID"/>
    <ds:schemaRef ds:uri="eUprava_AktLink"/>
    <ds:schemaRef ds:uri="eUprava_ParentID"/>
    <ds:schemaRef ds:uri="http://purl.org/dc/dcmitype/"/>
    <ds:schemaRef ds:uri="eUprava_Stranka"/>
    <ds:schemaRef ds:uri="eUprava_UrudzbeniBroj"/>
    <ds:schemaRef ds:uri="eUprava_StvarateljAkta"/>
    <ds:schemaRef ds:uri="http://purl.org/dc/terms/"/>
    <ds:schemaRef ds:uri="eUpravaPotpisnik"/>
    <ds:schemaRef ds:uri="eUprava_AktNaziv"/>
    <ds:schemaRef ds:uri="eUprava_TelefonFax"/>
    <ds:schemaRef ds:uri="eUpravaPotpisano"/>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elements/1.1/"/>
    <ds:schemaRef ds:uri="eUprava_ZaduzeniDjelatnik"/>
    <ds:schemaRef ds:uri="eUprava_PredmetID"/>
    <ds:schemaRef ds:uri="http://schemas.microsoft.com/office/2006/documentManagement/types"/>
    <ds:schemaRef ds:uri="69f896a3-487a-46f5-971b-e02ab02ef53f"/>
    <ds:schemaRef ds:uri="2ca74544-49ce-4d7b-a659-982be629a9de"/>
    <ds:schemaRef ds:uri="eUprava_Adresa"/>
    <ds:schemaRef ds:uri="eUprava_UpravnoTijelo"/>
    <ds:schemaRef ds:uri="eUprava_PredmetKlasa"/>
  </ds:schemaRefs>
</ds:datastoreItem>
</file>

<file path=customXml/itemProps2.xml><?xml version="1.0" encoding="utf-8"?>
<ds:datastoreItem xmlns:ds="http://schemas.openxmlformats.org/officeDocument/2006/customXml" ds:itemID="{D954A3F4-E6E1-4C35-93BD-799680605F2B}">
  <ds:schemaRefs>
    <ds:schemaRef ds:uri="http://schemas.microsoft.com/sharepoint/events"/>
  </ds:schemaRefs>
</ds:datastoreItem>
</file>

<file path=customXml/itemProps3.xml><?xml version="1.0" encoding="utf-8"?>
<ds:datastoreItem xmlns:ds="http://schemas.openxmlformats.org/officeDocument/2006/customXml" ds:itemID="{4AB9E71B-B300-46C6-96D5-1E44431C4F38}">
  <ds:schemaRefs>
    <ds:schemaRef ds:uri="http://schemas.microsoft.com/sharepoint/v3/contenttype/forms"/>
  </ds:schemaRefs>
</ds:datastoreItem>
</file>

<file path=customXml/itemProps4.xml><?xml version="1.0" encoding="utf-8"?>
<ds:datastoreItem xmlns:ds="http://schemas.openxmlformats.org/officeDocument/2006/customXml" ds:itemID="{92801552-1682-4E31-BCF4-16D39CA55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Uprava_UrudzbeniBroj"/>
    <ds:schemaRef ds:uri="eUprava_PredmetID"/>
    <ds:schemaRef ds:uri="eUprava_PredmetKlasa"/>
    <ds:schemaRef ds:uri="eUprava_AktNaziv"/>
    <ds:schemaRef ds:uri="eUprava_AktLink"/>
    <ds:schemaRef ds:uri="eUprava_AktID"/>
    <ds:schemaRef ds:uri="eUprava_ParentID"/>
    <ds:schemaRef ds:uri="eUprava_StvarateljAkta"/>
    <ds:schemaRef ds:uri="eUprava_UpravnoTijelo"/>
    <ds:schemaRef ds:uri="eUprava_Adresa"/>
    <ds:schemaRef ds:uri="eUprava_TelefonFax"/>
    <ds:schemaRef ds:uri="2ca74544-49ce-4d7b-a659-982be629a9de"/>
    <ds:schemaRef ds:uri="eUpravaPotpisano"/>
    <ds:schemaRef ds:uri="eUpravaPotpisnik"/>
    <ds:schemaRef ds:uri="69f896a3-487a-46f5-971b-e02ab02ef53f"/>
    <ds:schemaRef ds:uri="eUprava_ZaduzeniDjelatnik"/>
    <ds:schemaRef ds:uri="eUprava_Strank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2277</TotalTime>
  <Pages>20</Pages>
  <Words>7399</Words>
  <Characters>47315</Characters>
  <Application>Microsoft Office Word</Application>
  <DocSecurity>0</DocSecurity>
  <Lines>394</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Istarska županija</Company>
  <LinksUpToDate>false</LinksUpToDate>
  <CharactersWithSpaces>54605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Zagorc Licul</dc:creator>
  <cp:keywords/>
  <dc:description/>
  <cp:lastModifiedBy>Patricia Zagorc Licul</cp:lastModifiedBy>
  <cp:revision>28</cp:revision>
  <cp:lastPrinted>2024-02-15T10:11:00Z</cp:lastPrinted>
  <dcterms:created xsi:type="dcterms:W3CDTF">2024-02-14T14:59:00Z</dcterms:created>
  <dcterms:modified xsi:type="dcterms:W3CDTF">2024-02-16T09:39:00Z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0x010100FFA21088A209412EAB3DC2AED20886DC0050A94D29744A471EA705C0AE1B131F290081663B21911A51449011A67DABB7AEDC</vt:lpwstr>
  </property>
  <property fmtid="{D5CDD505-2E9C-101B-9397-08002B2CF9AE}" pid="3" name="_dlc_DocIdItemGuid">
    <vt:lpwstr>e06f15db-7fb1-4a70-ab36-2ad49c455509</vt:lpwstr>
  </property>
</Properties>
</file>